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04FC" w14:textId="45815A33" w:rsidR="00486702" w:rsidRPr="00A055A1" w:rsidRDefault="00911D80" w:rsidP="002048E3">
      <w:pPr>
        <w:pStyle w:val="Overskrifttilrdning"/>
        <w:shd w:val="clear" w:color="auto" w:fill="002060"/>
        <w:spacing w:after="0"/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</w:t>
      </w:r>
      <w:proofErr w:type="spellStart"/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Prop</w:t>
      </w:r>
      <w:proofErr w:type="spellEnd"/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. 1 S 202</w:t>
      </w:r>
      <w:r w:rsidR="0057411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1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–202</w:t>
      </w:r>
      <w:r w:rsidR="0057411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 </w:t>
      </w:r>
      <w:r w:rsidR="00E97C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Finans</w:t>
      </w:r>
      <w:r w:rsidR="002C7EAB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departementet</w:t>
      </w:r>
    </w:p>
    <w:p w14:paraId="19D9B1DE" w14:textId="402AB9C2" w:rsidR="00FB25D8" w:rsidRPr="00A055A1" w:rsidRDefault="00FB25D8" w:rsidP="00402104">
      <w:pPr>
        <w:pStyle w:val="Overskrifttilrdning"/>
        <w:shd w:val="clear" w:color="auto" w:fill="002060"/>
        <w:spacing w:after="120"/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6C3B0494" w14:textId="2A8D9A12" w:rsidR="00EF43DA" w:rsidRPr="00E9168F" w:rsidRDefault="00305C6C" w:rsidP="00865598">
      <w:pPr>
        <w:pStyle w:val="FFOBrdtekst"/>
        <w:spacing w:after="120"/>
      </w:pPr>
      <w:r>
        <w:t xml:space="preserve">FFO </w:t>
      </w:r>
      <w:r w:rsidR="00440708">
        <w:t>levere</w:t>
      </w:r>
      <w:r>
        <w:t>r med dette vå</w:t>
      </w:r>
      <w:r w:rsidR="00754026">
        <w:t>re</w:t>
      </w:r>
      <w:r>
        <w:t xml:space="preserve"> merknader til </w:t>
      </w:r>
      <w:r w:rsidR="00E97CA1">
        <w:t>Finans</w:t>
      </w:r>
      <w:r>
        <w:t xml:space="preserve">komiteen </w:t>
      </w:r>
      <w:r w:rsidR="007328BF">
        <w:t>knyttet til deres behandling av statsbudsjettet for 202</w:t>
      </w:r>
      <w:r w:rsidR="00574117">
        <w:t>2</w:t>
      </w:r>
      <w:r w:rsidR="005B4EB0">
        <w:t xml:space="preserve"> og ove</w:t>
      </w:r>
      <w:r w:rsidR="00E0582A">
        <w:t>n</w:t>
      </w:r>
      <w:r w:rsidR="005B4EB0">
        <w:t xml:space="preserve">nevnte </w:t>
      </w:r>
      <w:r w:rsidR="004C1A06" w:rsidRPr="004C1A06">
        <w:t>proposisjon</w:t>
      </w:r>
      <w:r w:rsidR="004C1A06">
        <w:t>.</w:t>
      </w:r>
    </w:p>
    <w:p w14:paraId="51F359DF" w14:textId="4D24E26D" w:rsidR="00EA72F8" w:rsidRDefault="000E6284" w:rsidP="00865598">
      <w:pPr>
        <w:pStyle w:val="FFOBrdtekst"/>
        <w:shd w:val="clear" w:color="auto" w:fill="002060"/>
        <w:spacing w:after="120"/>
        <w:rPr>
          <w:b/>
          <w:bCs/>
        </w:rPr>
      </w:pPr>
      <w:proofErr w:type="spellStart"/>
      <w:r w:rsidRPr="000E6284">
        <w:rPr>
          <w:b/>
          <w:bCs/>
        </w:rPr>
        <w:t>Prop</w:t>
      </w:r>
      <w:proofErr w:type="spellEnd"/>
      <w:r w:rsidRPr="000E6284">
        <w:rPr>
          <w:b/>
          <w:bCs/>
        </w:rPr>
        <w:t>. 1 LS 2021–2022 Skatter, avgifter og toll 2022, tabell 1.1.</w:t>
      </w:r>
    </w:p>
    <w:p w14:paraId="6AE077C9" w14:textId="3AEC975B" w:rsidR="001A6EBF" w:rsidRPr="001A6EBF" w:rsidRDefault="000E6284" w:rsidP="006872DC">
      <w:pPr>
        <w:pStyle w:val="FFOBrdtekst"/>
        <w:shd w:val="clear" w:color="auto" w:fill="002060"/>
        <w:spacing w:after="120"/>
        <w:rPr>
          <w:b/>
        </w:rPr>
      </w:pPr>
      <w:r w:rsidRPr="000E6284">
        <w:rPr>
          <w:b/>
        </w:rPr>
        <w:t>Nytt jobbfradrag for unge.</w:t>
      </w:r>
    </w:p>
    <w:p w14:paraId="5D8583B1" w14:textId="0E7176B9" w:rsidR="00A81BBA" w:rsidRPr="002A4100" w:rsidRDefault="002B45CF" w:rsidP="00A81BBA">
      <w:pPr>
        <w:spacing w:after="0"/>
        <w:rPr>
          <w:rFonts w:eastAsia="ArialMT"/>
          <w:i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FFO mener det er </w:t>
      </w:r>
      <w:r w:rsidR="00A81BBA" w:rsidRPr="00A81BBA">
        <w:rPr>
          <w:rFonts w:eastAsia="ArialMT"/>
          <w:iCs/>
          <w:sz w:val="24"/>
          <w:szCs w:val="24"/>
        </w:rPr>
        <w:t>prisverdig at Solbergregjeringen var opptatt av virkemidler som kan øke sysselsettingen blant unge. Samtidig mener FF</w:t>
      </w:r>
      <w:r>
        <w:rPr>
          <w:rFonts w:eastAsia="ArialMT"/>
          <w:iCs/>
          <w:sz w:val="24"/>
          <w:szCs w:val="24"/>
        </w:rPr>
        <w:t>O</w:t>
      </w:r>
      <w:r w:rsidR="00A81BBA" w:rsidRPr="00A81BBA">
        <w:rPr>
          <w:rFonts w:eastAsia="ArialMT"/>
          <w:iCs/>
          <w:sz w:val="24"/>
          <w:szCs w:val="24"/>
        </w:rPr>
        <w:t xml:space="preserve"> at målgruppen for det foreslåtte skattefradraget er altfor bred. 1,5 </w:t>
      </w:r>
      <w:proofErr w:type="spellStart"/>
      <w:r w:rsidR="00A81BBA" w:rsidRPr="00A81BBA">
        <w:rPr>
          <w:rFonts w:eastAsia="ArialMT"/>
          <w:iCs/>
          <w:sz w:val="24"/>
          <w:szCs w:val="24"/>
        </w:rPr>
        <w:t>mrd</w:t>
      </w:r>
      <w:proofErr w:type="spellEnd"/>
      <w:r w:rsidR="00A81BBA" w:rsidRPr="00A81BBA">
        <w:rPr>
          <w:rFonts w:eastAsia="ArialMT"/>
          <w:iCs/>
          <w:sz w:val="24"/>
          <w:szCs w:val="24"/>
        </w:rPr>
        <w:t xml:space="preserve"> må brukes til tiltak som er mer treffsik</w:t>
      </w:r>
      <w:r w:rsidR="00A24C81">
        <w:rPr>
          <w:rFonts w:eastAsia="ArialMT"/>
          <w:iCs/>
          <w:sz w:val="24"/>
          <w:szCs w:val="24"/>
        </w:rPr>
        <w:t>re</w:t>
      </w:r>
      <w:r w:rsidR="00A81BBA" w:rsidRPr="00A81BBA">
        <w:rPr>
          <w:rFonts w:eastAsia="ArialMT"/>
          <w:iCs/>
          <w:sz w:val="24"/>
          <w:szCs w:val="24"/>
        </w:rPr>
        <w:t xml:space="preserve"> for </w:t>
      </w:r>
      <w:r w:rsidR="00A24C81">
        <w:rPr>
          <w:rFonts w:eastAsia="ArialMT"/>
          <w:iCs/>
          <w:sz w:val="24"/>
          <w:szCs w:val="24"/>
        </w:rPr>
        <w:t xml:space="preserve">å få </w:t>
      </w:r>
      <w:r w:rsidR="00A81BBA" w:rsidRPr="00A81BBA">
        <w:rPr>
          <w:rFonts w:eastAsia="ArialMT"/>
          <w:iCs/>
          <w:sz w:val="24"/>
          <w:szCs w:val="24"/>
        </w:rPr>
        <w:t xml:space="preserve">flere unge arbeidssøkere </w:t>
      </w:r>
      <w:r w:rsidR="002A4100">
        <w:rPr>
          <w:rFonts w:eastAsia="ArialMT"/>
          <w:iCs/>
          <w:sz w:val="24"/>
          <w:szCs w:val="24"/>
        </w:rPr>
        <w:t xml:space="preserve">med </w:t>
      </w:r>
      <w:r w:rsidR="00A81BBA" w:rsidRPr="00A81BBA">
        <w:rPr>
          <w:rFonts w:eastAsia="ArialMT"/>
          <w:iCs/>
          <w:sz w:val="24"/>
          <w:szCs w:val="24"/>
        </w:rPr>
        <w:t xml:space="preserve">utfordringer </w:t>
      </w:r>
      <w:r w:rsidR="002A4100">
        <w:rPr>
          <w:rFonts w:eastAsia="ArialMT"/>
          <w:iCs/>
          <w:sz w:val="24"/>
          <w:szCs w:val="24"/>
        </w:rPr>
        <w:t>i</w:t>
      </w:r>
      <w:r w:rsidR="00A81BBA" w:rsidRPr="00A81BBA">
        <w:rPr>
          <w:rFonts w:eastAsia="ArialMT"/>
          <w:iCs/>
          <w:sz w:val="24"/>
          <w:szCs w:val="24"/>
        </w:rPr>
        <w:t xml:space="preserve"> jobb. </w:t>
      </w:r>
      <w:r w:rsidR="00A81BBA" w:rsidRPr="002A4100">
        <w:rPr>
          <w:rFonts w:eastAsia="ArialMT"/>
          <w:i/>
          <w:sz w:val="24"/>
          <w:szCs w:val="24"/>
        </w:rPr>
        <w:t xml:space="preserve">Vi ber komiteen forkaste forslaget som et skattefradrag som kun har alder og inntektsnivå som kvalifisering for å få skatteletten. </w:t>
      </w:r>
    </w:p>
    <w:p w14:paraId="661A036D" w14:textId="77777777" w:rsidR="00A81BBA" w:rsidRPr="00A81BBA" w:rsidRDefault="00A81BBA" w:rsidP="00A81BBA">
      <w:pPr>
        <w:spacing w:after="0"/>
        <w:rPr>
          <w:rFonts w:eastAsia="ArialMT"/>
          <w:iCs/>
          <w:sz w:val="24"/>
          <w:szCs w:val="24"/>
        </w:rPr>
      </w:pPr>
    </w:p>
    <w:p w14:paraId="0F025C8B" w14:textId="35941189" w:rsidR="00A81BBA" w:rsidRDefault="00A81BBA" w:rsidP="00A81BBA">
      <w:pPr>
        <w:spacing w:after="0"/>
        <w:rPr>
          <w:rFonts w:eastAsia="ArialMT"/>
          <w:iCs/>
          <w:sz w:val="24"/>
          <w:szCs w:val="24"/>
        </w:rPr>
      </w:pPr>
      <w:r w:rsidRPr="00A81BBA">
        <w:rPr>
          <w:rFonts w:eastAsia="ArialMT"/>
          <w:iCs/>
          <w:sz w:val="24"/>
          <w:szCs w:val="24"/>
        </w:rPr>
        <w:t xml:space="preserve">En del unge arbeidssøkere som ikke har fullført </w:t>
      </w:r>
      <w:r w:rsidR="007B7284">
        <w:rPr>
          <w:rFonts w:eastAsia="ArialMT"/>
          <w:iCs/>
          <w:sz w:val="24"/>
          <w:szCs w:val="24"/>
        </w:rPr>
        <w:t xml:space="preserve">eller har lav </w:t>
      </w:r>
      <w:r w:rsidRPr="00A81BBA">
        <w:rPr>
          <w:rFonts w:eastAsia="ArialMT"/>
          <w:iCs/>
          <w:sz w:val="24"/>
          <w:szCs w:val="24"/>
        </w:rPr>
        <w:t>utdanning, har større sannsynlighet til å komme i jobber med lavt lønnsnivå. Likevel er vi spørrende til det underliggende premisset i forslaget om at det er et lavt lønnsnivå i Norge som bidrar til utenforskap, og at en generell høyere inntekt i jobber med lavt eller middels lønn – vil få flere unge i jobb</w:t>
      </w:r>
      <w:r w:rsidR="00537DFD">
        <w:rPr>
          <w:rFonts w:eastAsia="ArialMT"/>
          <w:iCs/>
          <w:sz w:val="24"/>
          <w:szCs w:val="24"/>
        </w:rPr>
        <w:t>.</w:t>
      </w:r>
    </w:p>
    <w:p w14:paraId="0C71791C" w14:textId="77777777" w:rsidR="00537DFD" w:rsidRPr="00A81BBA" w:rsidRDefault="00537DFD" w:rsidP="00A81BBA">
      <w:pPr>
        <w:spacing w:after="0"/>
        <w:rPr>
          <w:rFonts w:eastAsia="ArialMT"/>
          <w:iCs/>
          <w:sz w:val="24"/>
          <w:szCs w:val="24"/>
        </w:rPr>
      </w:pPr>
    </w:p>
    <w:p w14:paraId="68A50235" w14:textId="43D23055" w:rsidR="00A81BBA" w:rsidRDefault="00A81BBA" w:rsidP="00A81BBA">
      <w:pPr>
        <w:spacing w:after="0"/>
        <w:rPr>
          <w:rFonts w:eastAsia="ArialMT"/>
          <w:iCs/>
          <w:sz w:val="24"/>
          <w:szCs w:val="24"/>
        </w:rPr>
      </w:pPr>
      <w:r w:rsidRPr="00A81BBA">
        <w:rPr>
          <w:rFonts w:eastAsia="ArialMT"/>
          <w:iCs/>
          <w:sz w:val="24"/>
          <w:szCs w:val="24"/>
        </w:rPr>
        <w:t>I Sysselsettingsutvalgets rapport NOU 2021:2, blir det flere steder pekt på at en av årsakene til utenforskap er det relativt høye lønnsnivået i Norge</w:t>
      </w:r>
      <w:r w:rsidR="002B6033">
        <w:rPr>
          <w:rFonts w:eastAsia="ArialMT"/>
          <w:iCs/>
          <w:sz w:val="24"/>
          <w:szCs w:val="24"/>
        </w:rPr>
        <w:t>. Det</w:t>
      </w:r>
      <w:r w:rsidRPr="00A81BBA">
        <w:rPr>
          <w:rFonts w:eastAsia="ArialMT"/>
          <w:iCs/>
          <w:sz w:val="24"/>
          <w:szCs w:val="24"/>
        </w:rPr>
        <w:t xml:space="preserve"> bidrar til at en del unge ikke får jobb, og at det er krevende å inkludere særskilte grupper i arbeidslivet</w:t>
      </w:r>
      <w:r w:rsidR="006A18F6">
        <w:rPr>
          <w:rFonts w:eastAsia="ArialMT"/>
          <w:iCs/>
          <w:sz w:val="24"/>
          <w:szCs w:val="24"/>
        </w:rPr>
        <w:t xml:space="preserve">. Dette </w:t>
      </w:r>
      <w:r w:rsidRPr="00A81BBA">
        <w:rPr>
          <w:rFonts w:eastAsia="ArialMT"/>
          <w:iCs/>
          <w:sz w:val="24"/>
          <w:szCs w:val="24"/>
        </w:rPr>
        <w:t xml:space="preserve">utfordrer å opprettholde høy sysselsetting </w:t>
      </w:r>
      <w:r w:rsidR="00204442">
        <w:rPr>
          <w:rFonts w:eastAsia="ArialMT"/>
          <w:iCs/>
          <w:sz w:val="24"/>
          <w:szCs w:val="24"/>
        </w:rPr>
        <w:t xml:space="preserve">samtidig med </w:t>
      </w:r>
      <w:r w:rsidRPr="00A81BBA">
        <w:rPr>
          <w:rFonts w:eastAsia="ArialMT"/>
          <w:iCs/>
          <w:sz w:val="24"/>
          <w:szCs w:val="24"/>
        </w:rPr>
        <w:t>et høyt lønnsnivå.</w:t>
      </w:r>
    </w:p>
    <w:p w14:paraId="005894FE" w14:textId="77777777" w:rsidR="00204442" w:rsidRPr="00A81BBA" w:rsidRDefault="00204442" w:rsidP="00A81BBA">
      <w:pPr>
        <w:spacing w:after="0"/>
        <w:rPr>
          <w:rFonts w:eastAsia="ArialMT"/>
          <w:iCs/>
          <w:sz w:val="24"/>
          <w:szCs w:val="24"/>
        </w:rPr>
      </w:pPr>
    </w:p>
    <w:p w14:paraId="000B1EF8" w14:textId="77777777" w:rsidR="005A3C67" w:rsidRDefault="00A81BBA" w:rsidP="00A81BBA">
      <w:pPr>
        <w:spacing w:after="0"/>
        <w:rPr>
          <w:rFonts w:eastAsia="ArialMT"/>
          <w:iCs/>
          <w:sz w:val="24"/>
          <w:szCs w:val="24"/>
        </w:rPr>
      </w:pPr>
      <w:r w:rsidRPr="00A81BBA">
        <w:rPr>
          <w:rFonts w:eastAsia="ArialMT"/>
          <w:iCs/>
          <w:sz w:val="24"/>
          <w:szCs w:val="24"/>
        </w:rPr>
        <w:t xml:space="preserve">Om fradraget skal være et insentiv for å delta mer i jobb for grupper som står klart utenfor arbeidslivet, vil det etter vår mening være mer målrettet å gi et slikt jobbfradrag </w:t>
      </w:r>
      <w:r w:rsidR="00181C45">
        <w:rPr>
          <w:rFonts w:eastAsia="ArialMT"/>
          <w:iCs/>
          <w:sz w:val="24"/>
          <w:szCs w:val="24"/>
        </w:rPr>
        <w:t xml:space="preserve">på </w:t>
      </w:r>
      <w:r w:rsidRPr="00A81BBA">
        <w:rPr>
          <w:rFonts w:eastAsia="ArialMT"/>
          <w:iCs/>
          <w:sz w:val="24"/>
          <w:szCs w:val="24"/>
        </w:rPr>
        <w:t xml:space="preserve">arbeidsinntekt </w:t>
      </w:r>
      <w:r w:rsidR="00181C45">
        <w:rPr>
          <w:rFonts w:eastAsia="ArialMT"/>
          <w:iCs/>
          <w:sz w:val="24"/>
          <w:szCs w:val="24"/>
        </w:rPr>
        <w:t xml:space="preserve">til </w:t>
      </w:r>
      <w:r w:rsidRPr="00A81BBA">
        <w:rPr>
          <w:rFonts w:eastAsia="ArialMT"/>
          <w:iCs/>
          <w:sz w:val="24"/>
          <w:szCs w:val="24"/>
        </w:rPr>
        <w:t xml:space="preserve">unge på AAP (arbeidsavklaringspenger) og </w:t>
      </w:r>
      <w:r w:rsidR="00181C45">
        <w:rPr>
          <w:rFonts w:eastAsia="ArialMT"/>
          <w:iCs/>
          <w:sz w:val="24"/>
          <w:szCs w:val="24"/>
        </w:rPr>
        <w:t xml:space="preserve">på det </w:t>
      </w:r>
      <w:r w:rsidRPr="00A81BBA">
        <w:rPr>
          <w:rFonts w:eastAsia="ArialMT"/>
          <w:iCs/>
          <w:sz w:val="24"/>
          <w:szCs w:val="24"/>
        </w:rPr>
        <w:t>unge uføretrygdede tjener om de kombinerer arbeid og trygd. Det bør i tillegg bevilges midler til mer målrettede arbeidsmarkeds- og utdanningstiltak for gruppen av unge som står utenfor.</w:t>
      </w:r>
      <w:r w:rsidR="00F10FC0">
        <w:rPr>
          <w:rFonts w:eastAsia="ArialMT"/>
          <w:iCs/>
          <w:sz w:val="24"/>
          <w:szCs w:val="24"/>
        </w:rPr>
        <w:t xml:space="preserve"> </w:t>
      </w:r>
    </w:p>
    <w:p w14:paraId="7FF1EC1C" w14:textId="77777777" w:rsidR="005A3C67" w:rsidRDefault="005A3C67" w:rsidP="00A81BBA">
      <w:pPr>
        <w:spacing w:after="0"/>
        <w:rPr>
          <w:rFonts w:eastAsia="ArialMT"/>
          <w:iCs/>
          <w:sz w:val="24"/>
          <w:szCs w:val="24"/>
        </w:rPr>
      </w:pPr>
    </w:p>
    <w:p w14:paraId="1A5E92F1" w14:textId="57C58B4F" w:rsidR="00F10FC0" w:rsidRPr="00865598" w:rsidRDefault="00F10FC0" w:rsidP="00865598">
      <w:pPr>
        <w:spacing w:after="120"/>
        <w:rPr>
          <w:rFonts w:eastAsia="ArialMT"/>
          <w:i/>
          <w:sz w:val="24"/>
          <w:szCs w:val="24"/>
        </w:rPr>
      </w:pPr>
      <w:r w:rsidRPr="005A3C67">
        <w:rPr>
          <w:rFonts w:eastAsia="ArialMT"/>
          <w:i/>
          <w:sz w:val="24"/>
          <w:szCs w:val="24"/>
        </w:rPr>
        <w:t xml:space="preserve">FFO ber komiteen om å innrette </w:t>
      </w:r>
      <w:r w:rsidR="005A3C67">
        <w:rPr>
          <w:rFonts w:eastAsia="ArialMT"/>
          <w:i/>
          <w:sz w:val="24"/>
          <w:szCs w:val="24"/>
        </w:rPr>
        <w:t>jobb</w:t>
      </w:r>
      <w:r w:rsidRPr="005A3C67">
        <w:rPr>
          <w:rFonts w:eastAsia="ArialMT"/>
          <w:i/>
          <w:sz w:val="24"/>
          <w:szCs w:val="24"/>
        </w:rPr>
        <w:t>fradraget mer mot lavinntekt</w:t>
      </w:r>
      <w:r w:rsidR="005A3C67" w:rsidRPr="005A3C67">
        <w:rPr>
          <w:rFonts w:eastAsia="ArialMT"/>
          <w:i/>
          <w:sz w:val="24"/>
          <w:szCs w:val="24"/>
        </w:rPr>
        <w:t>s</w:t>
      </w:r>
      <w:r w:rsidRPr="005A3C67">
        <w:rPr>
          <w:rFonts w:eastAsia="ArialMT"/>
          <w:i/>
          <w:sz w:val="24"/>
          <w:szCs w:val="24"/>
        </w:rPr>
        <w:t>grupper</w:t>
      </w:r>
      <w:r w:rsidR="002A564A">
        <w:rPr>
          <w:rFonts w:eastAsia="ArialMT"/>
          <w:i/>
          <w:sz w:val="24"/>
          <w:szCs w:val="24"/>
        </w:rPr>
        <w:t xml:space="preserve"> </w:t>
      </w:r>
      <w:r w:rsidR="005A3C67" w:rsidRPr="005A3C67">
        <w:rPr>
          <w:rFonts w:eastAsia="ArialMT"/>
          <w:i/>
          <w:sz w:val="24"/>
          <w:szCs w:val="24"/>
        </w:rPr>
        <w:t>som mottar AAP og uføretrygd.</w:t>
      </w:r>
    </w:p>
    <w:p w14:paraId="21B89B19" w14:textId="6F753807" w:rsidR="00526198" w:rsidRPr="00C050B0" w:rsidRDefault="00B135C2" w:rsidP="00865598">
      <w:pPr>
        <w:pStyle w:val="FFOBrdtekst"/>
        <w:shd w:val="clear" w:color="auto" w:fill="002060"/>
        <w:spacing w:after="120"/>
        <w:rPr>
          <w:b/>
          <w:bCs/>
        </w:rPr>
      </w:pPr>
      <w:proofErr w:type="spellStart"/>
      <w:r w:rsidRPr="00B135C2">
        <w:rPr>
          <w:b/>
          <w:bCs/>
        </w:rPr>
        <w:t>Prop</w:t>
      </w:r>
      <w:proofErr w:type="spellEnd"/>
      <w:r w:rsidRPr="00B135C2">
        <w:rPr>
          <w:b/>
          <w:bCs/>
        </w:rPr>
        <w:t>. 1 S (2021–2022) Statsbudsjettet 2022. Helse- og omsorgsdepartementet, Kap. 2752, Post 72 Egenandelstak.</w:t>
      </w:r>
    </w:p>
    <w:p w14:paraId="75CCECF7" w14:textId="77777777" w:rsidR="00AF7C65" w:rsidRPr="00AF7C65" w:rsidRDefault="00AF7C65" w:rsidP="00052064">
      <w:pPr>
        <w:spacing w:after="120"/>
        <w:rPr>
          <w:rFonts w:eastAsia="ArialMT"/>
          <w:iCs/>
          <w:sz w:val="24"/>
          <w:szCs w:val="24"/>
        </w:rPr>
      </w:pPr>
      <w:r w:rsidRPr="00AF7C65">
        <w:rPr>
          <w:rFonts w:eastAsia="ArialMT"/>
          <w:iCs/>
          <w:sz w:val="24"/>
          <w:szCs w:val="24"/>
        </w:rPr>
        <w:t>Regjeringen foreslår å øke egenandelene betydelig i budsjettet for 2022, fra 2460 til 2921 kroner. Det er en økning på 416 kr. Fra 2021 ble det vedtatt å slå sammen tak 1 og 2, som FFO støttet, men forslaget til taket på den sammenslåtte egenandelen ble lagt uakseptabelt høyt - på 3183 kr. Forslaget ble da også nedstemt av Stortinget. Men nå prøver altså regjeringen seg på nytt med en kraftig økning egenandelene.</w:t>
      </w:r>
    </w:p>
    <w:p w14:paraId="51ABBDD6" w14:textId="2BD00528" w:rsidR="00AF7C65" w:rsidRPr="00AF7C65" w:rsidRDefault="00AF7C65" w:rsidP="00AF7C65">
      <w:pPr>
        <w:spacing w:after="120"/>
        <w:rPr>
          <w:rFonts w:eastAsia="ArialMT"/>
          <w:iCs/>
          <w:sz w:val="24"/>
          <w:szCs w:val="24"/>
        </w:rPr>
      </w:pPr>
      <w:r w:rsidRPr="00AF7C65">
        <w:rPr>
          <w:rFonts w:eastAsia="ArialMT"/>
          <w:iCs/>
          <w:sz w:val="24"/>
          <w:szCs w:val="24"/>
        </w:rPr>
        <w:t xml:space="preserve">Regjeringen forsøker å </w:t>
      </w:r>
      <w:r w:rsidR="004702EC">
        <w:rPr>
          <w:rFonts w:eastAsia="ArialMT"/>
          <w:iCs/>
          <w:sz w:val="24"/>
          <w:szCs w:val="24"/>
        </w:rPr>
        <w:t>«</w:t>
      </w:r>
      <w:r w:rsidRPr="00AF7C65">
        <w:rPr>
          <w:rFonts w:eastAsia="ArialMT"/>
          <w:iCs/>
          <w:sz w:val="24"/>
          <w:szCs w:val="24"/>
        </w:rPr>
        <w:t>sukre pillen</w:t>
      </w:r>
      <w:r w:rsidR="004702EC">
        <w:rPr>
          <w:rFonts w:eastAsia="ArialMT"/>
          <w:iCs/>
          <w:sz w:val="24"/>
          <w:szCs w:val="24"/>
        </w:rPr>
        <w:t>»</w:t>
      </w:r>
      <w:r w:rsidRPr="00AF7C65">
        <w:rPr>
          <w:rFonts w:eastAsia="ArialMT"/>
          <w:iCs/>
          <w:sz w:val="24"/>
          <w:szCs w:val="24"/>
        </w:rPr>
        <w:t xml:space="preserve"> ved å foreslå en fjerning av bagatellgrensen på</w:t>
      </w:r>
    </w:p>
    <w:p w14:paraId="449E8931" w14:textId="77777777" w:rsidR="00AF7C65" w:rsidRPr="00AF7C65" w:rsidRDefault="00AF7C65" w:rsidP="00AF7C65">
      <w:pPr>
        <w:spacing w:after="120"/>
        <w:rPr>
          <w:rFonts w:eastAsia="ArialMT"/>
          <w:iCs/>
          <w:sz w:val="24"/>
          <w:szCs w:val="24"/>
        </w:rPr>
      </w:pPr>
      <w:r w:rsidRPr="00AF7C65">
        <w:rPr>
          <w:rFonts w:eastAsia="ArialMT"/>
          <w:iCs/>
          <w:sz w:val="24"/>
          <w:szCs w:val="24"/>
        </w:rPr>
        <w:t xml:space="preserve">200 kr, men det betyr lite når alle får økte egenandeler med 416 kr. Regjeringen skriver i budsjettproposisjonen om bagatellgrensen at: </w:t>
      </w:r>
    </w:p>
    <w:p w14:paraId="1101FD76" w14:textId="108088EF" w:rsidR="00AF7C65" w:rsidRPr="00AF7C65" w:rsidRDefault="00AF7C65" w:rsidP="00AF7C65">
      <w:pPr>
        <w:spacing w:after="120"/>
        <w:rPr>
          <w:rFonts w:eastAsia="ArialMT"/>
          <w:iCs/>
          <w:sz w:val="24"/>
          <w:szCs w:val="24"/>
        </w:rPr>
      </w:pPr>
      <w:r w:rsidRPr="00AF7C65">
        <w:rPr>
          <w:rFonts w:eastAsia="ArialMT"/>
          <w:iCs/>
          <w:sz w:val="24"/>
          <w:szCs w:val="24"/>
        </w:rPr>
        <w:lastRenderedPageBreak/>
        <w:t>«Grensen kan ikke lenger begrunnes i administrasjonskostnader, og dagens systemer kan ikke oppfylle bestemmelsen i folketrygden om samordning. Merutgiftene på 52 mill. kroner foreslås dekket inn ved å øke egenandelstaket med 35 kroner.</w:t>
      </w:r>
      <w:r w:rsidR="00F87CE1">
        <w:rPr>
          <w:rFonts w:eastAsia="ArialMT"/>
          <w:iCs/>
          <w:sz w:val="24"/>
          <w:szCs w:val="24"/>
        </w:rPr>
        <w:t>»</w:t>
      </w:r>
    </w:p>
    <w:p w14:paraId="1465577C" w14:textId="77777777" w:rsidR="00AF7C65" w:rsidRPr="00AF7C65" w:rsidRDefault="00AF7C65" w:rsidP="00AF7C65">
      <w:pPr>
        <w:spacing w:after="120"/>
        <w:rPr>
          <w:rFonts w:eastAsia="ArialMT"/>
          <w:iCs/>
          <w:sz w:val="24"/>
          <w:szCs w:val="24"/>
        </w:rPr>
      </w:pPr>
      <w:r w:rsidRPr="00AF7C65">
        <w:rPr>
          <w:rFonts w:eastAsia="ArialMT"/>
          <w:iCs/>
          <w:sz w:val="24"/>
          <w:szCs w:val="24"/>
        </w:rPr>
        <w:t>Selv om de som har betalt inntil 200 kroner for mye i egendeler får tilbake penger fra første krone, oppveier dette ikke for den belastningen mange vil oppleve ved å få en ekstrakostnad på 416 kroner. Det har vært en god praksis de senere årene å kun øke egenandelene tilsvarende prisstigningen. Denne praksisen har hatt bred tilslutning blant annet i pasient og brukerorganisasjonene.</w:t>
      </w:r>
    </w:p>
    <w:p w14:paraId="6B25FADB" w14:textId="43A0D876" w:rsidR="006872DC" w:rsidRDefault="00AF7C65" w:rsidP="00865598">
      <w:pPr>
        <w:spacing w:after="120"/>
        <w:rPr>
          <w:rFonts w:eastAsia="ArialMT"/>
          <w:i/>
          <w:sz w:val="24"/>
          <w:szCs w:val="24"/>
        </w:rPr>
      </w:pPr>
      <w:r w:rsidRPr="00D53BBE">
        <w:rPr>
          <w:rFonts w:eastAsia="ArialMT"/>
          <w:i/>
          <w:sz w:val="24"/>
          <w:szCs w:val="24"/>
        </w:rPr>
        <w:t xml:space="preserve">FFO </w:t>
      </w:r>
      <w:r w:rsidR="00D53BBE">
        <w:rPr>
          <w:rFonts w:eastAsia="ArialMT"/>
          <w:i/>
          <w:sz w:val="24"/>
          <w:szCs w:val="24"/>
        </w:rPr>
        <w:t>ber</w:t>
      </w:r>
      <w:r w:rsidRPr="00D53BBE">
        <w:rPr>
          <w:rFonts w:eastAsia="ArialMT"/>
          <w:i/>
          <w:sz w:val="24"/>
          <w:szCs w:val="24"/>
        </w:rPr>
        <w:t xml:space="preserve"> komiteen om å avvise den forrige regjeringens forslag til økning av egenandelene, samt å sørge for at egenandelene ikke økes mer enn tilsvarende konsumprisindeksen.</w:t>
      </w:r>
      <w:r w:rsidR="00D53BBE" w:rsidRPr="00D53BBE">
        <w:rPr>
          <w:rFonts w:eastAsia="ArialMT"/>
          <w:i/>
          <w:sz w:val="24"/>
          <w:szCs w:val="24"/>
        </w:rPr>
        <w:t xml:space="preserve"> </w:t>
      </w:r>
    </w:p>
    <w:p w14:paraId="76863509" w14:textId="061B72BC" w:rsidR="006872DC" w:rsidRPr="00052064" w:rsidRDefault="00052064" w:rsidP="00865598">
      <w:pPr>
        <w:pStyle w:val="FFOBrdtekst"/>
        <w:shd w:val="clear" w:color="auto" w:fill="002060"/>
        <w:spacing w:after="120"/>
        <w:rPr>
          <w:b/>
          <w:bCs/>
        </w:rPr>
      </w:pPr>
      <w:proofErr w:type="spellStart"/>
      <w:r w:rsidRPr="00052064">
        <w:rPr>
          <w:b/>
          <w:bCs/>
        </w:rPr>
        <w:t>Prop</w:t>
      </w:r>
      <w:proofErr w:type="spellEnd"/>
      <w:r w:rsidRPr="00052064">
        <w:rPr>
          <w:b/>
          <w:bCs/>
        </w:rPr>
        <w:t>. 1 S (2021–2022) Statsbudsjettet 2022. Kommunal- og moderniseringsdepartementet, Kap. 575 Ressurskrevende tjenester, post 60 Toppfinansieringsordning.</w:t>
      </w:r>
    </w:p>
    <w:p w14:paraId="5A3B783E" w14:textId="77777777" w:rsidR="00052064" w:rsidRPr="00052064" w:rsidRDefault="00052064" w:rsidP="00052064">
      <w:pPr>
        <w:spacing w:after="120"/>
        <w:rPr>
          <w:rFonts w:eastAsia="ArialMT"/>
          <w:iCs/>
          <w:sz w:val="24"/>
          <w:szCs w:val="24"/>
        </w:rPr>
      </w:pPr>
      <w:r w:rsidRPr="00052064">
        <w:rPr>
          <w:rFonts w:eastAsia="ArialMT"/>
          <w:iCs/>
          <w:sz w:val="24"/>
          <w:szCs w:val="24"/>
        </w:rPr>
        <w:t xml:space="preserve">Regjeringen foreslår nok en gang å øke innslagspunktet for ressurskrevende tjenester - fra 1 450 000 kroner til 1 540 000. Innslagspunktet har økt hvert år siden Solbergregjeringen trådte inn i 2013. Da var innslagspunktet på 935 000 kroner. </w:t>
      </w:r>
    </w:p>
    <w:p w14:paraId="6159306F" w14:textId="77777777" w:rsidR="00776460" w:rsidRDefault="00052064" w:rsidP="00052064">
      <w:pPr>
        <w:spacing w:after="120"/>
        <w:rPr>
          <w:rFonts w:eastAsia="ArialMT"/>
          <w:iCs/>
          <w:sz w:val="24"/>
          <w:szCs w:val="24"/>
        </w:rPr>
      </w:pPr>
      <w:r w:rsidRPr="00052064">
        <w:rPr>
          <w:rFonts w:eastAsia="ArialMT"/>
          <w:iCs/>
          <w:sz w:val="24"/>
          <w:szCs w:val="24"/>
        </w:rPr>
        <w:t xml:space="preserve">Kommunene betaler allerede størstedelen av kostnaden ved ressurskrevende tjenester. De opplever stadig økt ansvar og stort press rundt helse- og omsorgstjenester, og nå har de fått pandemien på toppen av dette. FFO er bekymret for at et stadig økende innslagspunkt i ordningen vil føre til færre og dårligere tjenester, og økt uforutsigbarhet i livene til mennesker med alvorlige funksjonsnedsettelser. FFO er glad for at ny regjering ønsker å Gjennomgå og forbedre Toppfinansieringsordningen for ressurskrevende tjenester for å sikre en bærekraftig utvikling av ordningen. </w:t>
      </w:r>
      <w:r w:rsidR="0090569F">
        <w:rPr>
          <w:rFonts w:eastAsia="ArialMT"/>
          <w:iCs/>
          <w:sz w:val="24"/>
          <w:szCs w:val="24"/>
        </w:rPr>
        <w:t xml:space="preserve">I tillegg var KrF, V og </w:t>
      </w:r>
      <w:r w:rsidR="00D34080">
        <w:rPr>
          <w:rFonts w:eastAsia="ArialMT"/>
          <w:iCs/>
          <w:sz w:val="24"/>
          <w:szCs w:val="24"/>
        </w:rPr>
        <w:t xml:space="preserve">FrP </w:t>
      </w:r>
      <w:r w:rsidR="00D07DCB">
        <w:rPr>
          <w:rFonts w:eastAsia="ArialMT"/>
          <w:iCs/>
          <w:sz w:val="24"/>
          <w:szCs w:val="24"/>
        </w:rPr>
        <w:t xml:space="preserve">for å redusere </w:t>
      </w:r>
      <w:r w:rsidR="00C83BBC">
        <w:rPr>
          <w:rFonts w:eastAsia="ArialMT"/>
          <w:iCs/>
          <w:sz w:val="24"/>
          <w:szCs w:val="24"/>
        </w:rPr>
        <w:t xml:space="preserve">innslagspunktet </w:t>
      </w:r>
      <w:r w:rsidR="001919A6">
        <w:rPr>
          <w:rFonts w:eastAsia="ArialMT"/>
          <w:iCs/>
          <w:sz w:val="24"/>
          <w:szCs w:val="24"/>
        </w:rPr>
        <w:t xml:space="preserve">før de gikk inn i regjering. </w:t>
      </w:r>
    </w:p>
    <w:p w14:paraId="3680D10B" w14:textId="1890C692" w:rsidR="00052064" w:rsidRPr="00052064" w:rsidRDefault="000E27FC" w:rsidP="00052064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Vi forventer </w:t>
      </w:r>
      <w:r w:rsidR="00B52A0D">
        <w:rPr>
          <w:rFonts w:eastAsia="ArialMT"/>
          <w:iCs/>
          <w:sz w:val="24"/>
          <w:szCs w:val="24"/>
        </w:rPr>
        <w:t xml:space="preserve">derfor at </w:t>
      </w:r>
      <w:r w:rsidR="00C73CEB">
        <w:rPr>
          <w:rFonts w:eastAsia="ArialMT"/>
          <w:iCs/>
          <w:sz w:val="24"/>
          <w:szCs w:val="24"/>
        </w:rPr>
        <w:t>flertallet i komiteen går inn for å stoppe den planlagte økningen i innslagspunktet</w:t>
      </w:r>
      <w:r w:rsidR="008651E0">
        <w:rPr>
          <w:rFonts w:eastAsia="ArialMT"/>
          <w:iCs/>
          <w:sz w:val="24"/>
          <w:szCs w:val="24"/>
        </w:rPr>
        <w:t xml:space="preserve"> for </w:t>
      </w:r>
      <w:r w:rsidR="00C2333D">
        <w:rPr>
          <w:rFonts w:eastAsia="ArialMT"/>
          <w:iCs/>
          <w:sz w:val="24"/>
          <w:szCs w:val="24"/>
        </w:rPr>
        <w:t xml:space="preserve">2022, og </w:t>
      </w:r>
      <w:r w:rsidR="00776460">
        <w:rPr>
          <w:rFonts w:eastAsia="ArialMT"/>
          <w:iCs/>
          <w:sz w:val="24"/>
          <w:szCs w:val="24"/>
        </w:rPr>
        <w:t xml:space="preserve">legger inn en merknad om </w:t>
      </w:r>
      <w:r w:rsidR="00C2333D">
        <w:rPr>
          <w:rFonts w:eastAsia="ArialMT"/>
          <w:iCs/>
          <w:sz w:val="24"/>
          <w:szCs w:val="24"/>
        </w:rPr>
        <w:t xml:space="preserve">at </w:t>
      </w:r>
      <w:r w:rsidR="00776460">
        <w:rPr>
          <w:rFonts w:eastAsia="ArialMT"/>
          <w:iCs/>
          <w:sz w:val="24"/>
          <w:szCs w:val="24"/>
        </w:rPr>
        <w:t xml:space="preserve">regjeringen på lengre sikt </w:t>
      </w:r>
      <w:r w:rsidR="00C2333D">
        <w:rPr>
          <w:rFonts w:eastAsia="ArialMT"/>
          <w:iCs/>
          <w:sz w:val="24"/>
          <w:szCs w:val="24"/>
        </w:rPr>
        <w:t xml:space="preserve">det på lengre sikt </w:t>
      </w:r>
    </w:p>
    <w:p w14:paraId="1E6D2171" w14:textId="412BAB02" w:rsidR="006872DC" w:rsidRPr="001A5293" w:rsidRDefault="00052064" w:rsidP="00052064">
      <w:pPr>
        <w:spacing w:after="120"/>
        <w:rPr>
          <w:rFonts w:eastAsia="ArialMT"/>
          <w:i/>
          <w:sz w:val="24"/>
          <w:szCs w:val="24"/>
        </w:rPr>
      </w:pPr>
      <w:r w:rsidRPr="00052064">
        <w:rPr>
          <w:rFonts w:eastAsia="ArialMT"/>
          <w:i/>
          <w:sz w:val="24"/>
          <w:szCs w:val="24"/>
        </w:rPr>
        <w:t xml:space="preserve">Inntil dette arbeidet igangsettes ber vi komiteen om å fryse innslagspunktet på 1 450 000 </w:t>
      </w:r>
      <w:r w:rsidR="00865598">
        <w:rPr>
          <w:rFonts w:eastAsia="ArialMT"/>
          <w:i/>
          <w:sz w:val="24"/>
          <w:szCs w:val="24"/>
        </w:rPr>
        <w:t xml:space="preserve">kroner </w:t>
      </w:r>
      <w:r w:rsidRPr="00052064">
        <w:rPr>
          <w:rFonts w:eastAsia="ArialMT"/>
          <w:i/>
          <w:sz w:val="24"/>
          <w:szCs w:val="24"/>
        </w:rPr>
        <w:t xml:space="preserve">for budsjettåret 2022. </w:t>
      </w:r>
    </w:p>
    <w:p w14:paraId="6A8A8DC8" w14:textId="4D2283D3" w:rsidR="00A33FA7" w:rsidRPr="00606EE6" w:rsidRDefault="006872DC" w:rsidP="006872DC">
      <w:pPr>
        <w:spacing w:after="0"/>
        <w:rPr>
          <w:rFonts w:eastAsia="ArialMT"/>
          <w:i/>
          <w:sz w:val="24"/>
          <w:szCs w:val="24"/>
        </w:rPr>
      </w:pPr>
      <w:r w:rsidRPr="001A5293">
        <w:rPr>
          <w:rFonts w:eastAsia="ArialMT"/>
          <w:i/>
          <w:sz w:val="24"/>
          <w:szCs w:val="24"/>
        </w:rPr>
        <w:br/>
      </w:r>
      <w:bookmarkEnd w:id="0"/>
    </w:p>
    <w:bookmarkEnd w:id="1"/>
    <w:bookmarkEnd w:id="2"/>
    <w:bookmarkEnd w:id="3"/>
    <w:p w14:paraId="72C0B253" w14:textId="6516FBBF" w:rsidR="004D184C" w:rsidRPr="00606EE6" w:rsidRDefault="004D184C" w:rsidP="004D184C">
      <w:pPr>
        <w:spacing w:after="0"/>
        <w:rPr>
          <w:i/>
          <w:sz w:val="24"/>
          <w:szCs w:val="24"/>
        </w:rPr>
      </w:pPr>
    </w:p>
    <w:sectPr w:rsidR="004D184C" w:rsidRPr="00606E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9F56" w14:textId="77777777" w:rsidR="009B1709" w:rsidRDefault="009B1709" w:rsidP="00D657D6">
      <w:pPr>
        <w:spacing w:after="0" w:line="240" w:lineRule="auto"/>
      </w:pPr>
      <w:r>
        <w:separator/>
      </w:r>
    </w:p>
  </w:endnote>
  <w:endnote w:type="continuationSeparator" w:id="0">
    <w:p w14:paraId="15D6CA21" w14:textId="77777777" w:rsidR="009B1709" w:rsidRDefault="009B1709" w:rsidP="00D657D6">
      <w:pPr>
        <w:spacing w:after="0" w:line="240" w:lineRule="auto"/>
      </w:pPr>
      <w:r>
        <w:continuationSeparator/>
      </w:r>
    </w:p>
  </w:endnote>
  <w:endnote w:type="continuationNotice" w:id="1">
    <w:p w14:paraId="7EFA0452" w14:textId="77777777" w:rsidR="009B1709" w:rsidRDefault="009B1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718966"/>
      <w:docPartObj>
        <w:docPartGallery w:val="Page Numbers (Bottom of Page)"/>
        <w:docPartUnique/>
      </w:docPartObj>
    </w:sdtPr>
    <w:sdtEndPr/>
    <w:sdtContent>
      <w:p w14:paraId="467CABDF" w14:textId="4E0D8CB2" w:rsidR="004D0D05" w:rsidRDefault="004D0D0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E1916" w14:textId="77777777" w:rsidR="004D0D05" w:rsidRDefault="004D0D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7E92B" w14:textId="77777777" w:rsidR="009B1709" w:rsidRDefault="009B1709" w:rsidP="00D657D6">
      <w:pPr>
        <w:spacing w:after="0" w:line="240" w:lineRule="auto"/>
      </w:pPr>
      <w:r>
        <w:separator/>
      </w:r>
    </w:p>
  </w:footnote>
  <w:footnote w:type="continuationSeparator" w:id="0">
    <w:p w14:paraId="1A618855" w14:textId="77777777" w:rsidR="009B1709" w:rsidRDefault="009B1709" w:rsidP="00D657D6">
      <w:pPr>
        <w:spacing w:after="0" w:line="240" w:lineRule="auto"/>
      </w:pPr>
      <w:r>
        <w:continuationSeparator/>
      </w:r>
    </w:p>
  </w:footnote>
  <w:footnote w:type="continuationNotice" w:id="1">
    <w:p w14:paraId="6CB70CEA" w14:textId="77777777" w:rsidR="009B1709" w:rsidRDefault="009B17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C1B"/>
    <w:multiLevelType w:val="hybridMultilevel"/>
    <w:tmpl w:val="DB4A55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7091"/>
    <w:rsid w:val="00016627"/>
    <w:rsid w:val="0002029C"/>
    <w:rsid w:val="00030847"/>
    <w:rsid w:val="000360EC"/>
    <w:rsid w:val="00052064"/>
    <w:rsid w:val="00063A9B"/>
    <w:rsid w:val="000821EC"/>
    <w:rsid w:val="000837F4"/>
    <w:rsid w:val="00093F82"/>
    <w:rsid w:val="00096004"/>
    <w:rsid w:val="000A6933"/>
    <w:rsid w:val="000B5CC4"/>
    <w:rsid w:val="000C6596"/>
    <w:rsid w:val="000D294E"/>
    <w:rsid w:val="000E27FC"/>
    <w:rsid w:val="000E6284"/>
    <w:rsid w:val="000F0253"/>
    <w:rsid w:val="000F3B8C"/>
    <w:rsid w:val="00100D82"/>
    <w:rsid w:val="00125CD0"/>
    <w:rsid w:val="00130D91"/>
    <w:rsid w:val="001434C7"/>
    <w:rsid w:val="00172DD2"/>
    <w:rsid w:val="00181C45"/>
    <w:rsid w:val="001919A6"/>
    <w:rsid w:val="001A5293"/>
    <w:rsid w:val="001A6EBF"/>
    <w:rsid w:val="001B3436"/>
    <w:rsid w:val="001C3B8D"/>
    <w:rsid w:val="001D0F28"/>
    <w:rsid w:val="001D43C6"/>
    <w:rsid w:val="001E2D70"/>
    <w:rsid w:val="001F05A3"/>
    <w:rsid w:val="00201916"/>
    <w:rsid w:val="00204442"/>
    <w:rsid w:val="002048E3"/>
    <w:rsid w:val="00211E31"/>
    <w:rsid w:val="00234019"/>
    <w:rsid w:val="00235CE3"/>
    <w:rsid w:val="00246A15"/>
    <w:rsid w:val="0026500B"/>
    <w:rsid w:val="002723AE"/>
    <w:rsid w:val="002835C4"/>
    <w:rsid w:val="00285E47"/>
    <w:rsid w:val="00294AA8"/>
    <w:rsid w:val="002A4100"/>
    <w:rsid w:val="002A564A"/>
    <w:rsid w:val="002A7608"/>
    <w:rsid w:val="002B3B57"/>
    <w:rsid w:val="002B45CF"/>
    <w:rsid w:val="002B6033"/>
    <w:rsid w:val="002C7EAB"/>
    <w:rsid w:val="002E0C83"/>
    <w:rsid w:val="002F3471"/>
    <w:rsid w:val="00305C6C"/>
    <w:rsid w:val="00325DFC"/>
    <w:rsid w:val="003270CD"/>
    <w:rsid w:val="0034625B"/>
    <w:rsid w:val="0035394A"/>
    <w:rsid w:val="00361B96"/>
    <w:rsid w:val="003631BF"/>
    <w:rsid w:val="003A1675"/>
    <w:rsid w:val="003C3965"/>
    <w:rsid w:val="003C6163"/>
    <w:rsid w:val="003E7D7D"/>
    <w:rsid w:val="00402104"/>
    <w:rsid w:val="004239F2"/>
    <w:rsid w:val="00431FE2"/>
    <w:rsid w:val="00440708"/>
    <w:rsid w:val="00452E9F"/>
    <w:rsid w:val="004702EC"/>
    <w:rsid w:val="00486702"/>
    <w:rsid w:val="004A3D8D"/>
    <w:rsid w:val="004C1A06"/>
    <w:rsid w:val="004D0D05"/>
    <w:rsid w:val="004D184C"/>
    <w:rsid w:val="004E0077"/>
    <w:rsid w:val="004F6935"/>
    <w:rsid w:val="0050056A"/>
    <w:rsid w:val="005121BB"/>
    <w:rsid w:val="00522234"/>
    <w:rsid w:val="00526198"/>
    <w:rsid w:val="00537DFD"/>
    <w:rsid w:val="00561001"/>
    <w:rsid w:val="0056585A"/>
    <w:rsid w:val="00574117"/>
    <w:rsid w:val="0057561B"/>
    <w:rsid w:val="005A3C67"/>
    <w:rsid w:val="005B0A4C"/>
    <w:rsid w:val="005B258F"/>
    <w:rsid w:val="005B4EB0"/>
    <w:rsid w:val="005C7062"/>
    <w:rsid w:val="005D089D"/>
    <w:rsid w:val="00606EE6"/>
    <w:rsid w:val="006154B7"/>
    <w:rsid w:val="006174CD"/>
    <w:rsid w:val="00630BD5"/>
    <w:rsid w:val="00634188"/>
    <w:rsid w:val="0064748B"/>
    <w:rsid w:val="006872DC"/>
    <w:rsid w:val="006A18F6"/>
    <w:rsid w:val="006A7EE7"/>
    <w:rsid w:val="006B38A0"/>
    <w:rsid w:val="006B70BE"/>
    <w:rsid w:val="006E0336"/>
    <w:rsid w:val="006F3002"/>
    <w:rsid w:val="00700CA9"/>
    <w:rsid w:val="00723FAC"/>
    <w:rsid w:val="0073256B"/>
    <w:rsid w:val="007328BF"/>
    <w:rsid w:val="0074304E"/>
    <w:rsid w:val="00754026"/>
    <w:rsid w:val="00757B44"/>
    <w:rsid w:val="00763D22"/>
    <w:rsid w:val="00764140"/>
    <w:rsid w:val="00776460"/>
    <w:rsid w:val="007909FA"/>
    <w:rsid w:val="00793249"/>
    <w:rsid w:val="007A06A7"/>
    <w:rsid w:val="007A33BA"/>
    <w:rsid w:val="007B170A"/>
    <w:rsid w:val="007B21E7"/>
    <w:rsid w:val="007B7284"/>
    <w:rsid w:val="007C31F3"/>
    <w:rsid w:val="007C4B83"/>
    <w:rsid w:val="007C6266"/>
    <w:rsid w:val="007C7731"/>
    <w:rsid w:val="007E10C8"/>
    <w:rsid w:val="007E231A"/>
    <w:rsid w:val="00813A16"/>
    <w:rsid w:val="00814E81"/>
    <w:rsid w:val="00823AF8"/>
    <w:rsid w:val="00847A7B"/>
    <w:rsid w:val="008651E0"/>
    <w:rsid w:val="00865598"/>
    <w:rsid w:val="00866558"/>
    <w:rsid w:val="00885FC8"/>
    <w:rsid w:val="008A08E1"/>
    <w:rsid w:val="008C1DA3"/>
    <w:rsid w:val="008F5F15"/>
    <w:rsid w:val="0090569F"/>
    <w:rsid w:val="009060DF"/>
    <w:rsid w:val="00911D80"/>
    <w:rsid w:val="009137F7"/>
    <w:rsid w:val="00924479"/>
    <w:rsid w:val="00924FC1"/>
    <w:rsid w:val="00926C56"/>
    <w:rsid w:val="00967BA9"/>
    <w:rsid w:val="00967ECE"/>
    <w:rsid w:val="00991B5A"/>
    <w:rsid w:val="00995D28"/>
    <w:rsid w:val="009A557C"/>
    <w:rsid w:val="009B1709"/>
    <w:rsid w:val="009C202F"/>
    <w:rsid w:val="00A0536E"/>
    <w:rsid w:val="00A055A1"/>
    <w:rsid w:val="00A14ED5"/>
    <w:rsid w:val="00A24C81"/>
    <w:rsid w:val="00A33FA7"/>
    <w:rsid w:val="00A3791A"/>
    <w:rsid w:val="00A6162F"/>
    <w:rsid w:val="00A80621"/>
    <w:rsid w:val="00A81BBA"/>
    <w:rsid w:val="00A82A29"/>
    <w:rsid w:val="00A94673"/>
    <w:rsid w:val="00AA7059"/>
    <w:rsid w:val="00AD1143"/>
    <w:rsid w:val="00AE0652"/>
    <w:rsid w:val="00AE235E"/>
    <w:rsid w:val="00AF7C65"/>
    <w:rsid w:val="00B135C2"/>
    <w:rsid w:val="00B16E0A"/>
    <w:rsid w:val="00B271B2"/>
    <w:rsid w:val="00B443B9"/>
    <w:rsid w:val="00B52A0D"/>
    <w:rsid w:val="00B54215"/>
    <w:rsid w:val="00B558A5"/>
    <w:rsid w:val="00B60EEF"/>
    <w:rsid w:val="00B60F36"/>
    <w:rsid w:val="00B61671"/>
    <w:rsid w:val="00B65EF9"/>
    <w:rsid w:val="00B73BB2"/>
    <w:rsid w:val="00BC0FD9"/>
    <w:rsid w:val="00BD171F"/>
    <w:rsid w:val="00BE7799"/>
    <w:rsid w:val="00BF02BB"/>
    <w:rsid w:val="00BF50AE"/>
    <w:rsid w:val="00C050B0"/>
    <w:rsid w:val="00C2333D"/>
    <w:rsid w:val="00C41C48"/>
    <w:rsid w:val="00C56F47"/>
    <w:rsid w:val="00C64FE6"/>
    <w:rsid w:val="00C73CEB"/>
    <w:rsid w:val="00C83BBC"/>
    <w:rsid w:val="00CA4B0A"/>
    <w:rsid w:val="00CB5E97"/>
    <w:rsid w:val="00CD607F"/>
    <w:rsid w:val="00CF202A"/>
    <w:rsid w:val="00D07DCB"/>
    <w:rsid w:val="00D131CA"/>
    <w:rsid w:val="00D173B7"/>
    <w:rsid w:val="00D20247"/>
    <w:rsid w:val="00D34080"/>
    <w:rsid w:val="00D44194"/>
    <w:rsid w:val="00D53BBE"/>
    <w:rsid w:val="00D657D6"/>
    <w:rsid w:val="00D757F2"/>
    <w:rsid w:val="00D91206"/>
    <w:rsid w:val="00DA12E6"/>
    <w:rsid w:val="00DB4141"/>
    <w:rsid w:val="00DB5B84"/>
    <w:rsid w:val="00DC0433"/>
    <w:rsid w:val="00DC24F6"/>
    <w:rsid w:val="00DC6CE1"/>
    <w:rsid w:val="00DD5991"/>
    <w:rsid w:val="00E003F3"/>
    <w:rsid w:val="00E0582A"/>
    <w:rsid w:val="00E12593"/>
    <w:rsid w:val="00E326C5"/>
    <w:rsid w:val="00E343BE"/>
    <w:rsid w:val="00E56DE6"/>
    <w:rsid w:val="00E578BE"/>
    <w:rsid w:val="00E62B85"/>
    <w:rsid w:val="00E6552F"/>
    <w:rsid w:val="00E65721"/>
    <w:rsid w:val="00E70AEA"/>
    <w:rsid w:val="00E81BFD"/>
    <w:rsid w:val="00E9168F"/>
    <w:rsid w:val="00E94E24"/>
    <w:rsid w:val="00E97CA1"/>
    <w:rsid w:val="00EA72F8"/>
    <w:rsid w:val="00EE26D0"/>
    <w:rsid w:val="00EE6283"/>
    <w:rsid w:val="00EF43DA"/>
    <w:rsid w:val="00F10FC0"/>
    <w:rsid w:val="00F14BAC"/>
    <w:rsid w:val="00F156CE"/>
    <w:rsid w:val="00F167B7"/>
    <w:rsid w:val="00F422EC"/>
    <w:rsid w:val="00F73BE7"/>
    <w:rsid w:val="00F84EA9"/>
    <w:rsid w:val="00F8779D"/>
    <w:rsid w:val="00F87CE1"/>
    <w:rsid w:val="00F92E04"/>
    <w:rsid w:val="00FB25D8"/>
    <w:rsid w:val="00FB551C"/>
    <w:rsid w:val="00FB6370"/>
    <w:rsid w:val="00FC1124"/>
    <w:rsid w:val="00FC4D4C"/>
    <w:rsid w:val="00FD748F"/>
    <w:rsid w:val="00FF1D4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56652B1D-DFF4-4C32-ACA8-E62740F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Ingenmellomrom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Ingenmellomrom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Standardskriftforavsnit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1A6EB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662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E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5CF73-CC14-4F55-9D86-852BE58B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4FBDF-F58D-4D07-B60F-A5EFA8F6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Lilly Ann Elvestad</cp:lastModifiedBy>
  <cp:revision>38</cp:revision>
  <dcterms:created xsi:type="dcterms:W3CDTF">2021-10-18T22:03:00Z</dcterms:created>
  <dcterms:modified xsi:type="dcterms:W3CDTF">2021-10-20T08:47:00Z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