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204FC" w14:textId="79163A37" w:rsidR="00486702" w:rsidRDefault="00911D80" w:rsidP="002048E3">
      <w:pPr>
        <w:pStyle w:val="Overskrifttilrdning"/>
        <w:shd w:val="clear" w:color="auto" w:fill="002060"/>
        <w:spacing w:after="0"/>
        <w:rPr>
          <w:color w:val="auto"/>
          <w:sz w:val="24"/>
          <w:szCs w:val="22"/>
          <w14:textOutline w14:w="0" w14:cap="rnd" w14:cmpd="sng" w14:algn="ctr">
            <w14:noFill/>
            <w14:prstDash w14:val="solid"/>
            <w14:bevel/>
          </w14:textOutline>
          <w14:props3d w14:extrusionH="0" w14:contourW="0" w14:prstMaterial="none"/>
        </w:rPr>
      </w:pPr>
      <w:bookmarkStart w:id="0" w:name="_Hlk527397502"/>
      <w:bookmarkStart w:id="1" w:name="_Toc433094981"/>
      <w:bookmarkStart w:id="2" w:name="_Toc433095041"/>
      <w:bookmarkStart w:id="3" w:name="_Toc433096740"/>
      <w:r w:rsidRPr="00911D80">
        <w:rPr>
          <w:color w:val="auto"/>
          <w:sz w:val="24"/>
          <w:szCs w:val="22"/>
          <w14:textOutline w14:w="0" w14:cap="rnd" w14:cmpd="sng" w14:algn="ctr">
            <w14:noFill/>
            <w14:prstDash w14:val="solid"/>
            <w14:bevel/>
          </w14:textOutline>
          <w14:props3d w14:extrusionH="0" w14:contourW="0" w14:prstMaterial="none"/>
        </w:rPr>
        <w:t>Merknad til Prop. 1 S (20</w:t>
      </w:r>
      <w:r>
        <w:rPr>
          <w:color w:val="auto"/>
          <w:sz w:val="24"/>
          <w:szCs w:val="22"/>
          <w14:textOutline w14:w="0" w14:cap="rnd" w14:cmpd="sng" w14:algn="ctr">
            <w14:noFill/>
            <w14:prstDash w14:val="solid"/>
            <w14:bevel/>
          </w14:textOutline>
          <w14:props3d w14:extrusionH="0" w14:contourW="0" w14:prstMaterial="none"/>
        </w:rPr>
        <w:t>20</w:t>
      </w:r>
      <w:r w:rsidRPr="00911D80">
        <w:rPr>
          <w:color w:val="auto"/>
          <w:sz w:val="24"/>
          <w:szCs w:val="22"/>
          <w14:textOutline w14:w="0" w14:cap="rnd" w14:cmpd="sng" w14:algn="ctr">
            <w14:noFill/>
            <w14:prstDash w14:val="solid"/>
            <w14:bevel/>
          </w14:textOutline>
          <w14:props3d w14:extrusionH="0" w14:contourW="0" w14:prstMaterial="none"/>
        </w:rPr>
        <w:t>-202</w:t>
      </w:r>
      <w:r>
        <w:rPr>
          <w:color w:val="auto"/>
          <w:sz w:val="24"/>
          <w:szCs w:val="22"/>
          <w14:textOutline w14:w="0" w14:cap="rnd" w14:cmpd="sng" w14:algn="ctr">
            <w14:noFill/>
            <w14:prstDash w14:val="solid"/>
            <w14:bevel/>
          </w14:textOutline>
          <w14:props3d w14:extrusionH="0" w14:contourW="0" w14:prstMaterial="none"/>
        </w:rPr>
        <w:t>1</w:t>
      </w:r>
      <w:r w:rsidRPr="00911D80">
        <w:rPr>
          <w:color w:val="auto"/>
          <w:sz w:val="24"/>
          <w:szCs w:val="22"/>
          <w14:textOutline w14:w="0" w14:cap="rnd" w14:cmpd="sng" w14:algn="ctr">
            <w14:noFill/>
            <w14:prstDash w14:val="solid"/>
            <w14:bevel/>
          </w14:textOutline>
          <w14:props3d w14:extrusionH="0" w14:contourW="0" w14:prstMaterial="none"/>
        </w:rPr>
        <w:t xml:space="preserve">) </w:t>
      </w:r>
      <w:r w:rsidR="00F84336">
        <w:rPr>
          <w:color w:val="auto"/>
          <w:sz w:val="24"/>
          <w:szCs w:val="22"/>
          <w14:textOutline w14:w="0" w14:cap="rnd" w14:cmpd="sng" w14:algn="ctr">
            <w14:noFill/>
            <w14:prstDash w14:val="solid"/>
            <w14:bevel/>
          </w14:textOutline>
          <w14:props3d w14:extrusionH="0" w14:contourW="0" w14:prstMaterial="none"/>
        </w:rPr>
        <w:t>Kommunal- og moderniserings</w:t>
      </w:r>
      <w:r w:rsidRPr="00911D80">
        <w:rPr>
          <w:color w:val="auto"/>
          <w:sz w:val="24"/>
          <w:szCs w:val="22"/>
          <w14:textOutline w14:w="0" w14:cap="rnd" w14:cmpd="sng" w14:algn="ctr">
            <w14:noFill/>
            <w14:prstDash w14:val="solid"/>
            <w14:bevel/>
          </w14:textOutline>
          <w14:props3d w14:extrusionH="0" w14:contourW="0" w14:prstMaterial="none"/>
        </w:rPr>
        <w:t>dep</w:t>
      </w:r>
      <w:r w:rsidR="00F84336">
        <w:rPr>
          <w:color w:val="auto"/>
          <w:sz w:val="24"/>
          <w:szCs w:val="22"/>
          <w14:textOutline w14:w="0" w14:cap="rnd" w14:cmpd="sng" w14:algn="ctr">
            <w14:noFill/>
            <w14:prstDash w14:val="solid"/>
            <w14:bevel/>
          </w14:textOutline>
          <w14:props3d w14:extrusionH="0" w14:contourW="0" w14:prstMaterial="none"/>
        </w:rPr>
        <w:t>artementet 14.10.20</w:t>
      </w:r>
    </w:p>
    <w:p w14:paraId="19D9B1DE" w14:textId="551315DF" w:rsidR="00FB25D8" w:rsidRPr="00764140" w:rsidRDefault="00FB25D8" w:rsidP="002048E3">
      <w:pPr>
        <w:pStyle w:val="Overskrifttilrdning"/>
        <w:shd w:val="clear" w:color="auto" w:fill="002060"/>
        <w:spacing w:after="0"/>
        <w:rPr>
          <w:color w:val="auto"/>
          <w:sz w:val="24"/>
          <w:szCs w:val="22"/>
          <w14:textOutline w14:w="0" w14:cap="rnd" w14:cmpd="sng" w14:algn="ctr">
            <w14:noFill/>
            <w14:prstDash w14:val="solid"/>
            <w14:bevel/>
          </w14:textOutline>
          <w14:props3d w14:extrusionH="0" w14:contourW="0" w14:prstMaterial="none"/>
        </w:rPr>
      </w:pPr>
      <w:r w:rsidRPr="00764140">
        <w:rPr>
          <w:color w:val="auto"/>
          <w:sz w:val="24"/>
          <w:szCs w:val="22"/>
          <w14:textOutline w14:w="0" w14:cap="rnd" w14:cmpd="sng" w14:algn="ctr">
            <w14:noFill/>
            <w14:prstDash w14:val="solid"/>
            <w14:bevel/>
          </w14:textOutline>
          <w14:props3d w14:extrusionH="0" w14:contourW="0" w14:prstMaterial="none"/>
        </w:rPr>
        <w:t>Funksjonshemmedes Fellesorganisasjon (FFO)</w:t>
      </w:r>
    </w:p>
    <w:p w14:paraId="1D9719D6" w14:textId="77777777" w:rsidR="00495147" w:rsidRPr="00B078CC" w:rsidRDefault="00495147" w:rsidP="00495147">
      <w:pPr>
        <w:pStyle w:val="FFOBrdtekst"/>
        <w:rPr>
          <w:szCs w:val="24"/>
        </w:rPr>
      </w:pPr>
      <w:r w:rsidRPr="00B078CC">
        <w:rPr>
          <w:rStyle w:val="FFOoverskrift1Tegn"/>
          <w:rFonts w:ascii="Calibri" w:hAnsi="Calibri"/>
          <w:color w:val="auto"/>
          <w:sz w:val="24"/>
          <w:szCs w:val="24"/>
        </w:rPr>
        <w:t>Kapittel 571 Rammetilskudd til kommunene</w:t>
      </w:r>
    </w:p>
    <w:p w14:paraId="48C6D99E" w14:textId="77777777" w:rsidR="00495147" w:rsidRDefault="00495147" w:rsidP="00495147">
      <w:pPr>
        <w:pStyle w:val="FFOBrdtekst"/>
        <w:rPr>
          <w:i/>
        </w:rPr>
      </w:pPr>
      <w:r>
        <w:rPr>
          <w:i/>
        </w:rPr>
        <w:t>Veikart universelt utformet nærskole 2030</w:t>
      </w:r>
    </w:p>
    <w:p w14:paraId="0F97690E" w14:textId="13EFC9E9" w:rsidR="00495147" w:rsidRDefault="00495147" w:rsidP="00495147">
      <w:pPr>
        <w:rPr>
          <w:sz w:val="24"/>
          <w:szCs w:val="24"/>
        </w:rPr>
      </w:pPr>
      <w:r>
        <w:rPr>
          <w:sz w:val="24"/>
          <w:szCs w:val="24"/>
        </w:rPr>
        <w:t xml:space="preserve">Norge har tilsluttet seg FNs bærekraftmål, og skal «Sikre inkluderande, rettferdig og god utdanning og fremme moglegheiter for livslang læring». Norge har også vedtatt FN-konvensjonen om funksjonshemmedes rettigheter, der tilgang til skolebygg er en av forpliktelsene. Mange skoler er ikke tilgjengelige for elever med funksjonsnedsettelse. Det er diskriminerende. Universell utforming sikrer inkludering og gode læringsbetingelser for denne gruppen, men gir også gode gevinster for andre elever. </w:t>
      </w:r>
    </w:p>
    <w:p w14:paraId="32F46881" w14:textId="4823B498" w:rsidR="00DF2F4F" w:rsidRPr="00D6050C" w:rsidRDefault="00123137" w:rsidP="00DF2F4F">
      <w:pPr>
        <w:rPr>
          <w:sz w:val="24"/>
          <w:szCs w:val="24"/>
        </w:rPr>
      </w:pPr>
      <w:r>
        <w:rPr>
          <w:sz w:val="24"/>
          <w:szCs w:val="24"/>
        </w:rPr>
        <w:t>CRPD</w:t>
      </w:r>
      <w:r w:rsidR="00DF2F4F" w:rsidRPr="00D6050C">
        <w:rPr>
          <w:sz w:val="24"/>
          <w:szCs w:val="24"/>
        </w:rPr>
        <w:t xml:space="preserve">-komiteen </w:t>
      </w:r>
      <w:r w:rsidR="00BF5F44">
        <w:rPr>
          <w:sz w:val="24"/>
          <w:szCs w:val="24"/>
        </w:rPr>
        <w:t>slår</w:t>
      </w:r>
      <w:r w:rsidR="00DF2F4F" w:rsidRPr="00D6050C">
        <w:rPr>
          <w:sz w:val="24"/>
          <w:szCs w:val="24"/>
        </w:rPr>
        <w:t xml:space="preserve"> i </w:t>
      </w:r>
      <w:r w:rsidR="00BF5F44">
        <w:rPr>
          <w:sz w:val="24"/>
          <w:szCs w:val="24"/>
        </w:rPr>
        <w:t xml:space="preserve">sine </w:t>
      </w:r>
      <w:r w:rsidR="00DF2F4F" w:rsidRPr="00D6050C">
        <w:rPr>
          <w:sz w:val="24"/>
          <w:szCs w:val="24"/>
        </w:rPr>
        <w:t xml:space="preserve">merknader til Regjeringen (mai 2019, art.9, </w:t>
      </w:r>
      <w:r w:rsidR="008C01CB">
        <w:rPr>
          <w:sz w:val="24"/>
          <w:szCs w:val="24"/>
        </w:rPr>
        <w:t>T</w:t>
      </w:r>
      <w:r w:rsidR="00DF2F4F" w:rsidRPr="00D6050C">
        <w:rPr>
          <w:sz w:val="24"/>
          <w:szCs w:val="24"/>
        </w:rPr>
        <w:t>ilgjengelighet)</w:t>
      </w:r>
      <w:r w:rsidR="008C01CB">
        <w:rPr>
          <w:sz w:val="24"/>
          <w:szCs w:val="24"/>
        </w:rPr>
        <w:t xml:space="preserve"> </w:t>
      </w:r>
      <w:r w:rsidR="00BF5F44">
        <w:rPr>
          <w:sz w:val="24"/>
          <w:szCs w:val="24"/>
        </w:rPr>
        <w:t>fast</w:t>
      </w:r>
      <w:r w:rsidR="00DF2F4F" w:rsidRPr="00D6050C">
        <w:rPr>
          <w:sz w:val="24"/>
          <w:szCs w:val="24"/>
        </w:rPr>
        <w:t>:</w:t>
      </w:r>
    </w:p>
    <w:p w14:paraId="6559E29F" w14:textId="6DDA7910" w:rsidR="00DF2F4F" w:rsidRPr="00D6050C" w:rsidRDefault="00DF2F4F" w:rsidP="00DF2F4F">
      <w:pPr>
        <w:rPr>
          <w:sz w:val="24"/>
          <w:szCs w:val="24"/>
        </w:rPr>
      </w:pPr>
      <w:r w:rsidRPr="00D6050C">
        <w:rPr>
          <w:i/>
          <w:iCs/>
          <w:sz w:val="24"/>
          <w:szCs w:val="24"/>
        </w:rPr>
        <w:t>Regjeringen må innføre forskrifter for å fastsette tidsfrister og konkrete tiltak med øremerket finansiering for universell utforming av eksisterende bygninger, som prioriterer grunnskole og videregående skole</w:t>
      </w:r>
      <w:r w:rsidRPr="00D6050C">
        <w:rPr>
          <w:sz w:val="24"/>
          <w:szCs w:val="24"/>
        </w:rPr>
        <w:t>….</w:t>
      </w:r>
    </w:p>
    <w:p w14:paraId="1F14D4DD" w14:textId="70EADFE4" w:rsidR="003211FE" w:rsidRPr="00D6050C" w:rsidRDefault="0041095E" w:rsidP="003211FE">
      <w:pPr>
        <w:rPr>
          <w:sz w:val="24"/>
          <w:szCs w:val="24"/>
        </w:rPr>
      </w:pPr>
      <w:r w:rsidRPr="00D6050C">
        <w:rPr>
          <w:sz w:val="24"/>
          <w:szCs w:val="24"/>
        </w:rPr>
        <w:t>Universell utforming er en helt sentral strategi for inkludering og bærekraft.  </w:t>
      </w:r>
      <w:r w:rsidR="003211FE" w:rsidRPr="00D6050C">
        <w:rPr>
          <w:sz w:val="24"/>
          <w:szCs w:val="24"/>
        </w:rPr>
        <w:t xml:space="preserve">I 2017 lanserte Bufdir «Veikart Universelt utformet nærskole 2030», på oppdrag fra BLD. </w:t>
      </w:r>
      <w:hyperlink r:id="rId11" w:history="1">
        <w:r w:rsidR="003211FE" w:rsidRPr="00D6050C">
          <w:rPr>
            <w:rStyle w:val="Hyperkobling"/>
            <w:color w:val="002060"/>
            <w:sz w:val="24"/>
            <w:szCs w:val="24"/>
          </w:rPr>
          <w:t>https://bibliotek.bufdir.no/BUF/101/Veikart_Universelt_utformet_naerskole_2030.pdf</w:t>
        </w:r>
      </w:hyperlink>
    </w:p>
    <w:p w14:paraId="7D36EEEF" w14:textId="77777777" w:rsidR="003211FE" w:rsidRPr="00D6050C" w:rsidRDefault="003211FE" w:rsidP="003211FE">
      <w:pPr>
        <w:rPr>
          <w:sz w:val="24"/>
          <w:szCs w:val="24"/>
        </w:rPr>
      </w:pPr>
      <w:r w:rsidRPr="00D6050C">
        <w:rPr>
          <w:sz w:val="24"/>
          <w:szCs w:val="24"/>
        </w:rPr>
        <w:t xml:space="preserve">Oslo Economics har dokumentert at det er samfunnsøkonomisk lønnsomt å følge Veikartet. </w:t>
      </w:r>
      <w:hyperlink r:id="rId12" w:history="1">
        <w:r w:rsidRPr="00D6050C">
          <w:rPr>
            <w:rStyle w:val="Hyperkobling"/>
            <w:color w:val="002060"/>
            <w:sz w:val="24"/>
            <w:szCs w:val="24"/>
          </w:rPr>
          <w:t>https://osloeconomics.no/6709/</w:t>
        </w:r>
      </w:hyperlink>
      <w:r w:rsidRPr="00D6050C">
        <w:rPr>
          <w:sz w:val="24"/>
          <w:szCs w:val="24"/>
        </w:rPr>
        <w:t xml:space="preserve"> Ved behandling av Meld.St. 6 (2019-2020) «Tett på», støttet en enstemmig utdannings- og forskningskomité veikartet og målet om universell utforming av skolebygg.</w:t>
      </w:r>
    </w:p>
    <w:p w14:paraId="3F79400F" w14:textId="1790A9C6" w:rsidR="003211FE" w:rsidRPr="00D6050C" w:rsidRDefault="003211FE" w:rsidP="003211FE">
      <w:pPr>
        <w:rPr>
          <w:sz w:val="24"/>
          <w:szCs w:val="24"/>
        </w:rPr>
      </w:pPr>
      <w:r w:rsidRPr="00D6050C">
        <w:rPr>
          <w:sz w:val="24"/>
          <w:szCs w:val="24"/>
        </w:rPr>
        <w:t xml:space="preserve">Regjeringen vil fremme universell utforming der utfordringene er størst, men kommer ikke med verken tiltak eller midler. Konsekvensen er fortsatt diskriminering. </w:t>
      </w:r>
      <w:r w:rsidR="00CC283D" w:rsidRPr="00D6050C">
        <w:rPr>
          <w:sz w:val="24"/>
          <w:szCs w:val="24"/>
        </w:rPr>
        <w:t>FFO</w:t>
      </w:r>
      <w:r w:rsidRPr="00D6050C">
        <w:rPr>
          <w:sz w:val="24"/>
          <w:szCs w:val="24"/>
        </w:rPr>
        <w:t xml:space="preserve"> mener en satsing på skole setter hjulene i gang i koronakrisen, med resultat en skole for alle!</w:t>
      </w:r>
    </w:p>
    <w:p w14:paraId="2EA5607E" w14:textId="25FE98D9" w:rsidR="00C71332" w:rsidRPr="00E12890" w:rsidRDefault="00CC283D" w:rsidP="008E7E2E">
      <w:pPr>
        <w:rPr>
          <w:i/>
          <w:iCs/>
          <w:sz w:val="24"/>
          <w:szCs w:val="24"/>
        </w:rPr>
      </w:pPr>
      <w:r w:rsidRPr="00E12890">
        <w:rPr>
          <w:i/>
          <w:iCs/>
          <w:sz w:val="24"/>
          <w:szCs w:val="24"/>
        </w:rPr>
        <w:t xml:space="preserve">FFO ber </w:t>
      </w:r>
      <w:r w:rsidR="007570E3" w:rsidRPr="00E12890">
        <w:rPr>
          <w:i/>
          <w:iCs/>
          <w:sz w:val="24"/>
          <w:szCs w:val="24"/>
        </w:rPr>
        <w:t>komiteen om</w:t>
      </w:r>
      <w:r w:rsidR="00C71332" w:rsidRPr="00E12890">
        <w:rPr>
          <w:i/>
          <w:iCs/>
          <w:sz w:val="24"/>
          <w:szCs w:val="24"/>
        </w:rPr>
        <w:t xml:space="preserve"> å:</w:t>
      </w:r>
    </w:p>
    <w:p w14:paraId="573896B9" w14:textId="1D75526A" w:rsidR="00C71332" w:rsidRPr="00E12890" w:rsidRDefault="007570E3" w:rsidP="008E7E2E">
      <w:pPr>
        <w:rPr>
          <w:rFonts w:eastAsia="Times New Roman"/>
          <w:i/>
          <w:iCs/>
          <w:sz w:val="24"/>
          <w:szCs w:val="24"/>
        </w:rPr>
      </w:pPr>
      <w:r w:rsidRPr="00E12890">
        <w:rPr>
          <w:i/>
          <w:iCs/>
          <w:sz w:val="24"/>
          <w:szCs w:val="24"/>
        </w:rPr>
        <w:t xml:space="preserve"> </w:t>
      </w:r>
      <w:r w:rsidR="00C71332" w:rsidRPr="00E12890">
        <w:rPr>
          <w:i/>
          <w:iCs/>
          <w:sz w:val="24"/>
          <w:szCs w:val="24"/>
        </w:rPr>
        <w:t>-</w:t>
      </w:r>
      <w:r w:rsidR="00E12890" w:rsidRPr="00E12890">
        <w:rPr>
          <w:i/>
          <w:iCs/>
          <w:sz w:val="24"/>
          <w:szCs w:val="24"/>
        </w:rPr>
        <w:t xml:space="preserve"> </w:t>
      </w:r>
      <w:r w:rsidRPr="00E12890">
        <w:rPr>
          <w:i/>
          <w:iCs/>
          <w:sz w:val="24"/>
          <w:szCs w:val="24"/>
        </w:rPr>
        <w:t>s</w:t>
      </w:r>
      <w:r w:rsidR="003211FE" w:rsidRPr="00E12890">
        <w:rPr>
          <w:rFonts w:eastAsia="Times New Roman"/>
          <w:i/>
          <w:iCs/>
          <w:sz w:val="24"/>
          <w:szCs w:val="24"/>
        </w:rPr>
        <w:t>ikre at alle barn kan gå på nærskolen</w:t>
      </w:r>
      <w:r w:rsidRPr="00E12890">
        <w:rPr>
          <w:rFonts w:eastAsia="Times New Roman"/>
          <w:i/>
          <w:iCs/>
          <w:sz w:val="24"/>
          <w:szCs w:val="24"/>
        </w:rPr>
        <w:t xml:space="preserve"> ved å r</w:t>
      </w:r>
      <w:r w:rsidR="003211FE" w:rsidRPr="00E12890">
        <w:rPr>
          <w:rFonts w:eastAsia="Times New Roman"/>
          <w:i/>
          <w:iCs/>
          <w:sz w:val="24"/>
          <w:szCs w:val="24"/>
        </w:rPr>
        <w:t>ealisere Veikartet</w:t>
      </w:r>
      <w:r w:rsidR="00327DE7" w:rsidRPr="00E12890">
        <w:rPr>
          <w:rFonts w:eastAsia="Times New Roman"/>
          <w:i/>
          <w:iCs/>
          <w:sz w:val="24"/>
          <w:szCs w:val="24"/>
        </w:rPr>
        <w:t xml:space="preserve"> og</w:t>
      </w:r>
      <w:r w:rsidRPr="00E12890">
        <w:rPr>
          <w:rFonts w:eastAsia="Times New Roman"/>
          <w:i/>
          <w:iCs/>
          <w:sz w:val="24"/>
          <w:szCs w:val="24"/>
        </w:rPr>
        <w:t xml:space="preserve"> s</w:t>
      </w:r>
      <w:r w:rsidR="003211FE" w:rsidRPr="00E12890">
        <w:rPr>
          <w:rFonts w:eastAsia="Times New Roman"/>
          <w:i/>
          <w:iCs/>
          <w:sz w:val="24"/>
          <w:szCs w:val="24"/>
        </w:rPr>
        <w:t>ette av kr 200 mill</w:t>
      </w:r>
      <w:r w:rsidR="009D2308" w:rsidRPr="00E12890">
        <w:rPr>
          <w:rFonts w:eastAsia="Times New Roman"/>
          <w:i/>
          <w:iCs/>
          <w:sz w:val="24"/>
          <w:szCs w:val="24"/>
        </w:rPr>
        <w:t>. kroner</w:t>
      </w:r>
      <w:r w:rsidR="003211FE" w:rsidRPr="00E12890">
        <w:rPr>
          <w:rFonts w:eastAsia="Times New Roman"/>
          <w:i/>
          <w:iCs/>
          <w:sz w:val="24"/>
          <w:szCs w:val="24"/>
        </w:rPr>
        <w:t xml:space="preserve"> i friske midler for å stimulere kommunene, øremerket universell utforming av eksisterende skoler.</w:t>
      </w:r>
      <w:r w:rsidR="0068312F" w:rsidRPr="00E12890">
        <w:rPr>
          <w:rFonts w:eastAsia="Times New Roman"/>
          <w:i/>
          <w:iCs/>
          <w:sz w:val="24"/>
          <w:szCs w:val="24"/>
        </w:rPr>
        <w:t xml:space="preserve"> </w:t>
      </w:r>
    </w:p>
    <w:p w14:paraId="184994EE" w14:textId="5C821F08" w:rsidR="0050056A" w:rsidRPr="00E12890" w:rsidRDefault="00C71332" w:rsidP="008E7E2E">
      <w:pPr>
        <w:rPr>
          <w:i/>
          <w:iCs/>
          <w:sz w:val="24"/>
          <w:szCs w:val="24"/>
        </w:rPr>
      </w:pPr>
      <w:r w:rsidRPr="00E12890">
        <w:rPr>
          <w:rFonts w:eastAsia="Times New Roman"/>
          <w:i/>
          <w:iCs/>
          <w:sz w:val="24"/>
          <w:szCs w:val="24"/>
        </w:rPr>
        <w:t xml:space="preserve">- </w:t>
      </w:r>
      <w:r w:rsidR="009F62B1">
        <w:rPr>
          <w:rFonts w:eastAsia="Times New Roman"/>
          <w:i/>
          <w:iCs/>
          <w:sz w:val="24"/>
          <w:szCs w:val="24"/>
        </w:rPr>
        <w:t xml:space="preserve">be regjeringen </w:t>
      </w:r>
      <w:r w:rsidR="00AF675C" w:rsidRPr="00E12890">
        <w:rPr>
          <w:rFonts w:eastAsia="Times New Roman"/>
          <w:i/>
          <w:iCs/>
          <w:sz w:val="24"/>
          <w:szCs w:val="24"/>
        </w:rPr>
        <w:t>l</w:t>
      </w:r>
      <w:r w:rsidR="003211FE" w:rsidRPr="00E12890">
        <w:rPr>
          <w:rFonts w:eastAsia="Times New Roman"/>
          <w:i/>
          <w:iCs/>
          <w:sz w:val="24"/>
          <w:szCs w:val="24"/>
        </w:rPr>
        <w:t xml:space="preserve">age </w:t>
      </w:r>
      <w:r w:rsidR="00AF675C" w:rsidRPr="00E12890">
        <w:rPr>
          <w:rFonts w:eastAsia="Times New Roman"/>
          <w:i/>
          <w:iCs/>
          <w:sz w:val="24"/>
          <w:szCs w:val="24"/>
        </w:rPr>
        <w:t xml:space="preserve">en </w:t>
      </w:r>
      <w:r w:rsidR="003211FE" w:rsidRPr="00E12890">
        <w:rPr>
          <w:rFonts w:eastAsia="Times New Roman"/>
          <w:i/>
          <w:iCs/>
          <w:sz w:val="24"/>
          <w:szCs w:val="24"/>
        </w:rPr>
        <w:t xml:space="preserve">forskrift med tidsfrist 2030 for oppgradering av skolebygg </w:t>
      </w:r>
      <w:r w:rsidR="00393A86">
        <w:rPr>
          <w:rFonts w:eastAsia="Times New Roman"/>
          <w:i/>
          <w:iCs/>
          <w:sz w:val="24"/>
          <w:szCs w:val="24"/>
        </w:rPr>
        <w:t xml:space="preserve">             </w:t>
      </w:r>
      <w:r w:rsidR="003211FE" w:rsidRPr="00E12890">
        <w:rPr>
          <w:rFonts w:eastAsia="Times New Roman"/>
          <w:i/>
          <w:iCs/>
          <w:sz w:val="24"/>
          <w:szCs w:val="24"/>
        </w:rPr>
        <w:t xml:space="preserve">(PBL § 31-4) </w:t>
      </w:r>
      <w:r w:rsidR="00AF675C" w:rsidRPr="00E12890">
        <w:rPr>
          <w:rFonts w:eastAsia="Times New Roman"/>
          <w:i/>
          <w:iCs/>
          <w:sz w:val="24"/>
          <w:szCs w:val="24"/>
        </w:rPr>
        <w:t>og gi</w:t>
      </w:r>
      <w:r w:rsidR="003211FE" w:rsidRPr="00E12890">
        <w:rPr>
          <w:rFonts w:eastAsia="Times New Roman"/>
          <w:i/>
          <w:iCs/>
          <w:sz w:val="24"/>
          <w:szCs w:val="24"/>
        </w:rPr>
        <w:t xml:space="preserve"> føringer om at funksjonshemmedes organisasjoner </w:t>
      </w:r>
      <w:r w:rsidR="00C329E1" w:rsidRPr="00E12890">
        <w:rPr>
          <w:rFonts w:eastAsia="Times New Roman"/>
          <w:i/>
          <w:iCs/>
          <w:sz w:val="24"/>
          <w:szCs w:val="24"/>
        </w:rPr>
        <w:t xml:space="preserve">involveres </w:t>
      </w:r>
      <w:r w:rsidR="003211FE" w:rsidRPr="00E12890">
        <w:rPr>
          <w:rFonts w:eastAsia="Times New Roman"/>
          <w:i/>
          <w:iCs/>
          <w:sz w:val="24"/>
          <w:szCs w:val="24"/>
        </w:rPr>
        <w:t xml:space="preserve">i </w:t>
      </w:r>
      <w:r w:rsidR="00D6050C" w:rsidRPr="00E12890">
        <w:rPr>
          <w:rFonts w:eastAsia="Times New Roman"/>
          <w:i/>
          <w:iCs/>
          <w:sz w:val="24"/>
          <w:szCs w:val="24"/>
        </w:rPr>
        <w:t>arbeidet.</w:t>
      </w:r>
    </w:p>
    <w:bookmarkEnd w:id="0"/>
    <w:p w14:paraId="5AA8B215" w14:textId="77777777" w:rsidR="00393A86" w:rsidRDefault="00393A86" w:rsidP="00AE31EC">
      <w:pPr>
        <w:pStyle w:val="FFOBrdtekst"/>
        <w:spacing w:after="0" w:line="240" w:lineRule="auto"/>
        <w:rPr>
          <w:b/>
          <w:bCs/>
        </w:rPr>
      </w:pPr>
    </w:p>
    <w:p w14:paraId="441D3ED7" w14:textId="06ED5A2A" w:rsidR="00AE31EC" w:rsidRDefault="00AE31EC" w:rsidP="00AE31EC">
      <w:pPr>
        <w:pStyle w:val="FFOBrdtekst"/>
        <w:spacing w:after="0" w:line="240" w:lineRule="auto"/>
      </w:pPr>
      <w:r>
        <w:rPr>
          <w:b/>
          <w:bCs/>
        </w:rPr>
        <w:t>Kapittel 575 Ressurskrevende tjenester, post 60 Toppfinansieringsordningen</w:t>
      </w:r>
    </w:p>
    <w:p w14:paraId="3100A1B0" w14:textId="77777777" w:rsidR="00AE31EC" w:rsidRDefault="00AE31EC" w:rsidP="00AE31EC">
      <w:pPr>
        <w:rPr>
          <w:sz w:val="24"/>
          <w:szCs w:val="24"/>
        </w:rPr>
      </w:pPr>
      <w:r>
        <w:rPr>
          <w:sz w:val="24"/>
          <w:szCs w:val="24"/>
        </w:rPr>
        <w:t xml:space="preserve">Regjeringen foreslår å øke innslagspunktet for ressurskrevende tjenester fra 1 361 000 til 1 430 000 kroner i budsjettet for 2021. Det er en økning på 48 000 kroner per bruker ut over lønns- og prisvekst. Innslagspunktet har økt hvert år siden Solbergregjeringen trådte inn i 2013. Da var innslagspunktet på 975 000 kroner. </w:t>
      </w:r>
    </w:p>
    <w:p w14:paraId="258754AF" w14:textId="77777777" w:rsidR="000E1C39" w:rsidRDefault="00AE31EC" w:rsidP="00AE31EC">
      <w:pPr>
        <w:rPr>
          <w:sz w:val="24"/>
          <w:szCs w:val="24"/>
        </w:rPr>
      </w:pPr>
      <w:r>
        <w:rPr>
          <w:sz w:val="24"/>
          <w:szCs w:val="24"/>
        </w:rPr>
        <w:t xml:space="preserve">Kommunene betaler allerede størstedelen av kostnaden ved ressurskrevende tjenester. De opplever økt ansvar og stort press rundt helse- og omsorgstjenester. FFO er bekymret for at et stadig økende innslagspunkt i ordningen vil føre til færre og dårligere tjenester, og økt </w:t>
      </w:r>
      <w:r>
        <w:rPr>
          <w:sz w:val="24"/>
          <w:szCs w:val="24"/>
        </w:rPr>
        <w:lastRenderedPageBreak/>
        <w:t>uforutsigbarhet i livene til mennesker med alvorlige funksjonsnedsettelser. Dette er noe også KS sier tydelig at kan skje. Det er likevel positivt at skjønnsrammen til kommunene (Kap 571 post 64) utvides med 30 mill</w:t>
      </w:r>
      <w:r w:rsidR="009B58E4">
        <w:rPr>
          <w:sz w:val="24"/>
          <w:szCs w:val="24"/>
        </w:rPr>
        <w:t>.</w:t>
      </w:r>
      <w:r>
        <w:rPr>
          <w:sz w:val="24"/>
          <w:szCs w:val="24"/>
        </w:rPr>
        <w:t xml:space="preserve"> kroner, og at midlene rettes mot små kommuner som har spesielt høye utgifter til ressurskrevende tjenester per bruker. FFO støtter dette, og ber komiteen om å fryse innslagspunktet på 1 361 000 for budsjettåret 2021. </w:t>
      </w:r>
    </w:p>
    <w:p w14:paraId="289B0D13" w14:textId="1220517A" w:rsidR="00817756" w:rsidRPr="0076619C" w:rsidRDefault="000E1C39" w:rsidP="00AE31EC">
      <w:pPr>
        <w:rPr>
          <w:i/>
          <w:iCs/>
          <w:sz w:val="24"/>
          <w:szCs w:val="24"/>
        </w:rPr>
      </w:pPr>
      <w:r w:rsidRPr="0076619C">
        <w:rPr>
          <w:i/>
          <w:iCs/>
          <w:sz w:val="24"/>
          <w:szCs w:val="24"/>
        </w:rPr>
        <w:t xml:space="preserve">FFO ber komiteen om </w:t>
      </w:r>
      <w:r w:rsidR="00817756" w:rsidRPr="0076619C">
        <w:rPr>
          <w:i/>
          <w:iCs/>
          <w:sz w:val="24"/>
          <w:szCs w:val="24"/>
        </w:rPr>
        <w:t>å:</w:t>
      </w:r>
    </w:p>
    <w:p w14:paraId="00479FC7" w14:textId="2A47232E" w:rsidR="00AE31EC" w:rsidRPr="0076619C" w:rsidRDefault="00817756" w:rsidP="00AE31EC">
      <w:pPr>
        <w:rPr>
          <w:i/>
          <w:iCs/>
          <w:sz w:val="24"/>
          <w:szCs w:val="24"/>
        </w:rPr>
      </w:pPr>
      <w:r w:rsidRPr="0076619C">
        <w:rPr>
          <w:i/>
          <w:iCs/>
          <w:sz w:val="24"/>
          <w:szCs w:val="24"/>
        </w:rPr>
        <w:t>-</w:t>
      </w:r>
      <w:r w:rsidR="0076619C">
        <w:rPr>
          <w:i/>
          <w:iCs/>
          <w:sz w:val="24"/>
          <w:szCs w:val="24"/>
        </w:rPr>
        <w:t xml:space="preserve"> </w:t>
      </w:r>
      <w:r w:rsidR="00AE31EC" w:rsidRPr="0076619C">
        <w:rPr>
          <w:i/>
          <w:iCs/>
          <w:sz w:val="24"/>
          <w:szCs w:val="24"/>
        </w:rPr>
        <w:t>ta initiativ til en reduksjon i innslagspunktet for ressurskrevende tjenester. Både Venstre, Kristelig Folkeparti og Fremskrittspartiet har tidligere gått inn for dette.</w:t>
      </w:r>
    </w:p>
    <w:p w14:paraId="6F92DF01" w14:textId="6094B1EC" w:rsidR="00B5353F" w:rsidRPr="00BD3A62" w:rsidRDefault="00B5353F" w:rsidP="008E7E2E">
      <w:pPr>
        <w:spacing w:after="0"/>
        <w:rPr>
          <w:rFonts w:ascii="Calibri" w:eastAsia="Calibri" w:hAnsi="Calibri" w:cs="Calibri"/>
          <w:b/>
          <w:bCs/>
          <w:sz w:val="24"/>
          <w:szCs w:val="24"/>
        </w:rPr>
      </w:pPr>
      <w:r w:rsidRPr="00BD3A62">
        <w:rPr>
          <w:rFonts w:ascii="Calibri" w:eastAsia="Calibri" w:hAnsi="Calibri" w:cs="Calibri"/>
          <w:b/>
          <w:bCs/>
          <w:sz w:val="24"/>
          <w:szCs w:val="24"/>
        </w:rPr>
        <w:t>Kap. 581 Bolig- og bomiljøtiltak, Post 70 Bostøtte</w:t>
      </w:r>
    </w:p>
    <w:p w14:paraId="70822C7C" w14:textId="77777777" w:rsidR="00B5353F" w:rsidRPr="00BD3A62" w:rsidRDefault="00B5353F" w:rsidP="00B5353F">
      <w:pPr>
        <w:spacing w:after="0" w:line="240" w:lineRule="auto"/>
        <w:rPr>
          <w:rFonts w:eastAsia="Calibri" w:cs="Calibri"/>
          <w:i/>
          <w:iCs/>
          <w:sz w:val="24"/>
          <w:szCs w:val="24"/>
        </w:rPr>
      </w:pPr>
      <w:r w:rsidRPr="00BD3A62">
        <w:rPr>
          <w:rFonts w:eastAsia="Calibri" w:cs="Calibri"/>
          <w:i/>
          <w:iCs/>
          <w:sz w:val="24"/>
          <w:szCs w:val="24"/>
        </w:rPr>
        <w:t>Flere uføre må tas inn i bostøtteordningen</w:t>
      </w:r>
    </w:p>
    <w:p w14:paraId="4CF18C74" w14:textId="77777777" w:rsidR="00B5353F" w:rsidRPr="00BD3A62" w:rsidRDefault="00B5353F" w:rsidP="00B5353F">
      <w:pPr>
        <w:spacing w:after="0" w:line="240" w:lineRule="auto"/>
        <w:rPr>
          <w:rFonts w:eastAsia="Calibri" w:cs="Calibri"/>
          <w:sz w:val="24"/>
          <w:szCs w:val="24"/>
        </w:rPr>
      </w:pPr>
      <w:r w:rsidRPr="00BD3A62">
        <w:rPr>
          <w:rFonts w:eastAsia="Calibri" w:cs="Calibri"/>
          <w:sz w:val="24"/>
          <w:szCs w:val="24"/>
        </w:rPr>
        <w:t xml:space="preserve">FFO har lenge jobbet for at bostøtteordningen må endres slik at uføretrygdede som lever på minsteytelser, inkludert unge uføre med garantert tilleggspensjon, kommer inn under bostøttens inntektsgrenser. </w:t>
      </w:r>
    </w:p>
    <w:p w14:paraId="69A61E45" w14:textId="77777777" w:rsidR="00B5353F" w:rsidRPr="00BD3A62" w:rsidRDefault="00B5353F" w:rsidP="00B5353F">
      <w:pPr>
        <w:spacing w:after="0" w:line="240" w:lineRule="auto"/>
        <w:rPr>
          <w:rFonts w:eastAsia="Calibri" w:cs="Calibri"/>
          <w:sz w:val="24"/>
          <w:szCs w:val="24"/>
        </w:rPr>
      </w:pPr>
    </w:p>
    <w:p w14:paraId="24E43EFE" w14:textId="678F3134" w:rsidR="00B5353F" w:rsidRPr="00C9630B" w:rsidRDefault="00920C28" w:rsidP="00B5353F">
      <w:pPr>
        <w:spacing w:after="0" w:line="240" w:lineRule="auto"/>
        <w:rPr>
          <w:rFonts w:eastAsia="Calibri" w:cs="Arial"/>
          <w:sz w:val="24"/>
          <w:szCs w:val="24"/>
        </w:rPr>
      </w:pPr>
      <w:r w:rsidRPr="00C9630B">
        <w:rPr>
          <w:rFonts w:eastAsia="Calibri" w:cs="Calibri"/>
          <w:sz w:val="24"/>
          <w:szCs w:val="24"/>
        </w:rPr>
        <w:t xml:space="preserve">Det er en stor svakhet at skjermingsfradraget som ble innført for uføre med bostøtte kun gjelder for de som mottok bostøtte og uføretrygd i desember 2014. Man har i påfølgende år sett en markant nedgang i uføretrygdede som mottar bostøtte, da personer som er blitt uføre etter reformen i stor grad havner over inntektstaket. </w:t>
      </w:r>
      <w:r w:rsidR="00B5353F" w:rsidRPr="00C9630B">
        <w:rPr>
          <w:rFonts w:eastAsia="Calibri" w:cs="Calibri"/>
          <w:sz w:val="24"/>
          <w:szCs w:val="24"/>
        </w:rPr>
        <w:t>Dette gjelder særlig unge uføre. Tall fra Husbanken viser at i 2019 utgjør u</w:t>
      </w:r>
      <w:r w:rsidR="00B5353F" w:rsidRPr="00C9630B">
        <w:rPr>
          <w:rFonts w:eastAsia="Calibri" w:cs="Arial"/>
          <w:sz w:val="24"/>
          <w:szCs w:val="24"/>
        </w:rPr>
        <w:t>nge uføre 4 prosent av mottakerne, mens øvrige uføre utgjør 9 prosent av samtlige bostøttemottakere.</w:t>
      </w:r>
    </w:p>
    <w:p w14:paraId="63516EC3" w14:textId="77777777" w:rsidR="00B5353F" w:rsidRPr="00BD3A62" w:rsidRDefault="00B5353F" w:rsidP="00B5353F">
      <w:pPr>
        <w:spacing w:after="0" w:line="240" w:lineRule="auto"/>
        <w:rPr>
          <w:rFonts w:eastAsia="Calibri" w:cs="Arial"/>
          <w:sz w:val="24"/>
          <w:szCs w:val="24"/>
        </w:rPr>
      </w:pPr>
    </w:p>
    <w:p w14:paraId="46131C89" w14:textId="77777777" w:rsidR="00B5353F" w:rsidRPr="00BD3A62" w:rsidRDefault="00B5353F" w:rsidP="00B5353F">
      <w:pPr>
        <w:spacing w:after="0" w:line="240" w:lineRule="auto"/>
        <w:rPr>
          <w:sz w:val="24"/>
          <w:szCs w:val="24"/>
        </w:rPr>
      </w:pPr>
      <w:r w:rsidRPr="00BD3A62">
        <w:rPr>
          <w:rFonts w:eastAsia="Calibri" w:cs="Arial"/>
          <w:sz w:val="24"/>
          <w:szCs w:val="24"/>
        </w:rPr>
        <w:t xml:space="preserve">Vi vil også påpeke at </w:t>
      </w:r>
      <w:r w:rsidRPr="00BD3A62">
        <w:rPr>
          <w:sz w:val="24"/>
          <w:szCs w:val="24"/>
        </w:rPr>
        <w:t xml:space="preserve">en innlemming av samtlige uføre i dagens overgangsordning ikke sikrer at de mottar bostøtte fremover. Inntektstrekket som gjøres for uføre i overgangsordningene korrigeres ikke i tråd med prisveksten i bruttoinntekten. Det betyr at husstandene gradvis faller ut av ordningen, etter hvert som bruttoinntekten øker mer enn fratrekket i inntektsgrunnlaget </w:t>
      </w:r>
      <w:sdt>
        <w:sdtPr>
          <w:rPr>
            <w:sz w:val="24"/>
            <w:szCs w:val="24"/>
          </w:rPr>
          <w:id w:val="1799800041"/>
          <w:citation/>
        </w:sdtPr>
        <w:sdtContent>
          <w:r w:rsidRPr="00BD3A62">
            <w:rPr>
              <w:sz w:val="24"/>
              <w:szCs w:val="24"/>
            </w:rPr>
            <w:fldChar w:fldCharType="begin"/>
          </w:r>
          <w:r w:rsidRPr="00BD3A62">
            <w:rPr>
              <w:sz w:val="24"/>
              <w:szCs w:val="24"/>
            </w:rPr>
            <w:instrText xml:space="preserve"> CITATION Hus193 \l 1044 </w:instrText>
          </w:r>
          <w:r w:rsidRPr="00BD3A62">
            <w:rPr>
              <w:sz w:val="24"/>
              <w:szCs w:val="24"/>
            </w:rPr>
            <w:fldChar w:fldCharType="separate"/>
          </w:r>
          <w:r w:rsidRPr="00BD3A62">
            <w:rPr>
              <w:noProof/>
              <w:sz w:val="24"/>
              <w:szCs w:val="24"/>
            </w:rPr>
            <w:t>(Husbanken, 2019)</w:t>
          </w:r>
          <w:r w:rsidRPr="00BD3A62">
            <w:rPr>
              <w:sz w:val="24"/>
              <w:szCs w:val="24"/>
            </w:rPr>
            <w:fldChar w:fldCharType="end"/>
          </w:r>
        </w:sdtContent>
      </w:sdt>
      <w:r w:rsidRPr="00BD3A62">
        <w:rPr>
          <w:sz w:val="24"/>
          <w:szCs w:val="24"/>
        </w:rPr>
        <w:t xml:space="preserve">. Det er derfor behov for å justere inntektsfratrekket i tråd med reguleringen av grunnbeløpet og uføretrygdens inntektsutvikling. </w:t>
      </w:r>
    </w:p>
    <w:p w14:paraId="663A8A9C" w14:textId="77777777" w:rsidR="00B5353F" w:rsidRPr="00BD3A62" w:rsidRDefault="00B5353F" w:rsidP="00B5353F">
      <w:pPr>
        <w:spacing w:after="0" w:line="240" w:lineRule="auto"/>
        <w:rPr>
          <w:sz w:val="24"/>
          <w:szCs w:val="24"/>
        </w:rPr>
      </w:pPr>
    </w:p>
    <w:p w14:paraId="61B0BF03" w14:textId="2693A3B0" w:rsidR="006A6BE9" w:rsidRPr="006A6BE9" w:rsidRDefault="00B5353F" w:rsidP="00B5353F">
      <w:pPr>
        <w:spacing w:after="0" w:line="240" w:lineRule="auto"/>
        <w:rPr>
          <w:rFonts w:eastAsia="Calibri" w:cs="Calibri"/>
          <w:i/>
          <w:iCs/>
          <w:sz w:val="24"/>
          <w:szCs w:val="24"/>
        </w:rPr>
      </w:pPr>
      <w:r w:rsidRPr="006A6BE9">
        <w:rPr>
          <w:rFonts w:eastAsia="Calibri" w:cs="Calibri"/>
          <w:i/>
          <w:iCs/>
          <w:sz w:val="24"/>
          <w:szCs w:val="24"/>
        </w:rPr>
        <w:t>FFO ber komiteen om å</w:t>
      </w:r>
      <w:r w:rsidR="00550A48" w:rsidRPr="006A6BE9">
        <w:rPr>
          <w:rFonts w:eastAsia="Calibri" w:cs="Calibri"/>
          <w:i/>
          <w:iCs/>
          <w:sz w:val="24"/>
          <w:szCs w:val="24"/>
        </w:rPr>
        <w:t>:</w:t>
      </w:r>
    </w:p>
    <w:p w14:paraId="6EE47084" w14:textId="7EEB9A04" w:rsidR="00B5353F" w:rsidRPr="006A6BE9" w:rsidRDefault="00550A48" w:rsidP="00B5353F">
      <w:pPr>
        <w:spacing w:after="0" w:line="240" w:lineRule="auto"/>
        <w:rPr>
          <w:rFonts w:eastAsia="Calibri" w:cs="Calibri"/>
          <w:i/>
          <w:iCs/>
          <w:sz w:val="24"/>
          <w:szCs w:val="24"/>
        </w:rPr>
      </w:pPr>
      <w:r w:rsidRPr="006A6BE9">
        <w:rPr>
          <w:rFonts w:eastAsia="Calibri" w:cs="Calibri"/>
          <w:i/>
          <w:iCs/>
          <w:sz w:val="24"/>
          <w:szCs w:val="24"/>
        </w:rPr>
        <w:t xml:space="preserve">- </w:t>
      </w:r>
      <w:r w:rsidR="00B5353F" w:rsidRPr="006A6BE9">
        <w:rPr>
          <w:rFonts w:eastAsia="Calibri" w:cs="Calibri"/>
          <w:i/>
          <w:iCs/>
          <w:sz w:val="24"/>
          <w:szCs w:val="24"/>
        </w:rPr>
        <w:t xml:space="preserve">foreslå et bostøtteregelverk som sikrer bostøtte til uføre uavhengig av på hvilket tidspunkt uføretrygden ble innvilget, og på om lag samme nivå som bostøtten var før omleggingen av uføretrygden. FFO ber om at unge uføre må sikres spesielt.  </w:t>
      </w:r>
    </w:p>
    <w:p w14:paraId="5C18390C" w14:textId="77777777" w:rsidR="00493D4D" w:rsidRPr="00BD3A62" w:rsidRDefault="00493D4D" w:rsidP="00B5353F">
      <w:pPr>
        <w:spacing w:after="0" w:line="240" w:lineRule="auto"/>
        <w:rPr>
          <w:rFonts w:eastAsia="Calibri" w:cs="Calibri"/>
          <w:sz w:val="24"/>
          <w:szCs w:val="24"/>
        </w:rPr>
      </w:pPr>
    </w:p>
    <w:p w14:paraId="5D6628CE" w14:textId="77777777" w:rsidR="00493D4D" w:rsidRPr="00C2686B" w:rsidRDefault="00493D4D" w:rsidP="00493D4D">
      <w:pPr>
        <w:spacing w:after="0" w:line="240" w:lineRule="auto"/>
        <w:rPr>
          <w:rFonts w:eastAsia="Calibri" w:cs="Calibri"/>
          <w:i/>
          <w:iCs/>
          <w:sz w:val="24"/>
          <w:szCs w:val="24"/>
        </w:rPr>
      </w:pPr>
      <w:r w:rsidRPr="00C2686B">
        <w:rPr>
          <w:rFonts w:eastAsia="Calibri" w:cs="Calibri"/>
          <w:i/>
          <w:iCs/>
          <w:sz w:val="24"/>
          <w:szCs w:val="24"/>
        </w:rPr>
        <w:t>Andre foreslåtte endringer i bostøtten</w:t>
      </w:r>
    </w:p>
    <w:p w14:paraId="33384865" w14:textId="77777777" w:rsidR="00493D4D" w:rsidRPr="00493D4D" w:rsidRDefault="00493D4D" w:rsidP="00493D4D">
      <w:pPr>
        <w:spacing w:after="0" w:line="240" w:lineRule="auto"/>
        <w:rPr>
          <w:rFonts w:eastAsia="Calibri" w:cs="Calibri"/>
          <w:sz w:val="24"/>
          <w:szCs w:val="24"/>
        </w:rPr>
      </w:pPr>
      <w:r w:rsidRPr="00493D4D">
        <w:rPr>
          <w:rFonts w:eastAsia="Calibri" w:cs="Calibri"/>
          <w:sz w:val="24"/>
          <w:szCs w:val="24"/>
        </w:rPr>
        <w:t xml:space="preserve">Regjeringen har for 2021 lagt opp til en rekke mindre endringer i bostøtten. FFO er positive til den foreslåtte økningen i boutgiftstaket for enslige i budsjettforslaget, men slik vi vurderer forslaget vil dette kun gi helt marginale forbedringer for denne gruppen. Samtidig er det negativt at mange enslige unge uføre ikke får økt bostøtte, da svært få i denne gruppen har en bruttoinntekt under bostøttens inntektsgrenser. </w:t>
      </w:r>
    </w:p>
    <w:p w14:paraId="113E1134" w14:textId="77777777" w:rsidR="00493D4D" w:rsidRPr="00493D4D" w:rsidRDefault="00493D4D" w:rsidP="00493D4D">
      <w:pPr>
        <w:spacing w:after="0" w:line="240" w:lineRule="auto"/>
        <w:rPr>
          <w:rFonts w:eastAsia="Calibri" w:cs="Calibri"/>
          <w:sz w:val="24"/>
          <w:szCs w:val="24"/>
        </w:rPr>
      </w:pPr>
    </w:p>
    <w:p w14:paraId="2FCC435B" w14:textId="77777777" w:rsidR="006A6BE9" w:rsidRDefault="00493D4D" w:rsidP="00493D4D">
      <w:pPr>
        <w:spacing w:after="0" w:line="240" w:lineRule="auto"/>
        <w:rPr>
          <w:rFonts w:eastAsia="Calibri" w:cs="Calibri"/>
          <w:sz w:val="24"/>
          <w:szCs w:val="24"/>
        </w:rPr>
      </w:pPr>
      <w:r w:rsidRPr="00493D4D">
        <w:rPr>
          <w:rFonts w:eastAsia="Calibri" w:cs="Calibri"/>
          <w:sz w:val="24"/>
          <w:szCs w:val="24"/>
        </w:rPr>
        <w:t xml:space="preserve">FFO er fornøyd med forslag om å opprette et ekspertutvalg, og vil samtidig påpeker viktigheten av en høy grad av brukerrepresentasjon i utvalget. </w:t>
      </w:r>
    </w:p>
    <w:p w14:paraId="1559CEC2" w14:textId="77777777" w:rsidR="00EE1F3A" w:rsidRDefault="00EE1F3A" w:rsidP="00493D4D">
      <w:pPr>
        <w:spacing w:after="0" w:line="240" w:lineRule="auto"/>
        <w:rPr>
          <w:rFonts w:eastAsia="Calibri" w:cs="Calibri"/>
          <w:sz w:val="24"/>
          <w:szCs w:val="24"/>
        </w:rPr>
      </w:pPr>
    </w:p>
    <w:p w14:paraId="5CAA0B25" w14:textId="77777777" w:rsidR="00FE7DED" w:rsidRDefault="00FE7DED" w:rsidP="00493D4D">
      <w:pPr>
        <w:spacing w:after="0" w:line="240" w:lineRule="auto"/>
        <w:rPr>
          <w:rFonts w:eastAsia="Calibri" w:cs="Calibri"/>
          <w:i/>
          <w:iCs/>
          <w:sz w:val="24"/>
          <w:szCs w:val="24"/>
        </w:rPr>
      </w:pPr>
    </w:p>
    <w:p w14:paraId="2C7FCEAA" w14:textId="77777777" w:rsidR="00FE7DED" w:rsidRDefault="00FE7DED" w:rsidP="00493D4D">
      <w:pPr>
        <w:spacing w:after="0" w:line="240" w:lineRule="auto"/>
        <w:rPr>
          <w:rFonts w:eastAsia="Calibri" w:cs="Calibri"/>
          <w:i/>
          <w:iCs/>
          <w:sz w:val="24"/>
          <w:szCs w:val="24"/>
        </w:rPr>
      </w:pPr>
    </w:p>
    <w:p w14:paraId="2C1763A5" w14:textId="027A64F5" w:rsidR="00EE1F3A" w:rsidRPr="008C3A1B" w:rsidRDefault="00EE1F3A" w:rsidP="00493D4D">
      <w:pPr>
        <w:spacing w:after="0" w:line="240" w:lineRule="auto"/>
        <w:rPr>
          <w:rFonts w:eastAsia="Calibri" w:cs="Calibri"/>
          <w:i/>
          <w:iCs/>
          <w:sz w:val="24"/>
          <w:szCs w:val="24"/>
        </w:rPr>
      </w:pPr>
      <w:r w:rsidRPr="008C3A1B">
        <w:rPr>
          <w:rFonts w:eastAsia="Calibri" w:cs="Calibri"/>
          <w:i/>
          <w:iCs/>
          <w:sz w:val="24"/>
          <w:szCs w:val="24"/>
        </w:rPr>
        <w:lastRenderedPageBreak/>
        <w:t xml:space="preserve">FFO </w:t>
      </w:r>
      <w:r w:rsidR="00493D4D" w:rsidRPr="008C3A1B">
        <w:rPr>
          <w:rFonts w:eastAsia="Calibri" w:cs="Calibri"/>
          <w:i/>
          <w:iCs/>
          <w:sz w:val="24"/>
          <w:szCs w:val="24"/>
        </w:rPr>
        <w:t>ber komiteen om å</w:t>
      </w:r>
      <w:r w:rsidRPr="008C3A1B">
        <w:rPr>
          <w:rFonts w:eastAsia="Calibri" w:cs="Calibri"/>
          <w:i/>
          <w:iCs/>
          <w:sz w:val="24"/>
          <w:szCs w:val="24"/>
        </w:rPr>
        <w:t>:</w:t>
      </w:r>
    </w:p>
    <w:p w14:paraId="1526A872" w14:textId="590F6659" w:rsidR="00493D4D" w:rsidRPr="008C3A1B" w:rsidRDefault="008C3A1B" w:rsidP="00493D4D">
      <w:pPr>
        <w:spacing w:after="0" w:line="240" w:lineRule="auto"/>
        <w:rPr>
          <w:rFonts w:eastAsia="Calibri" w:cs="Calibri"/>
          <w:i/>
          <w:iCs/>
          <w:sz w:val="24"/>
          <w:szCs w:val="24"/>
        </w:rPr>
      </w:pPr>
      <w:r w:rsidRPr="008C3A1B">
        <w:rPr>
          <w:rFonts w:eastAsia="Calibri" w:cs="Calibri"/>
          <w:i/>
          <w:iCs/>
          <w:sz w:val="24"/>
          <w:szCs w:val="24"/>
        </w:rPr>
        <w:t>-</w:t>
      </w:r>
      <w:r w:rsidR="00493D4D" w:rsidRPr="008C3A1B">
        <w:rPr>
          <w:rFonts w:eastAsia="Calibri" w:cs="Calibri"/>
          <w:i/>
          <w:iCs/>
          <w:sz w:val="24"/>
          <w:szCs w:val="24"/>
        </w:rPr>
        <w:t xml:space="preserve"> støtte forslaget om en ekspertgruppe og påpeke viktigheten av at brukerne er representert gjennom sine organisasjoner</w:t>
      </w:r>
      <w:r w:rsidRPr="008C3A1B">
        <w:rPr>
          <w:rFonts w:eastAsia="Calibri" w:cs="Calibri"/>
          <w:i/>
          <w:iCs/>
          <w:sz w:val="24"/>
          <w:szCs w:val="24"/>
        </w:rPr>
        <w:t xml:space="preserve"> og</w:t>
      </w:r>
      <w:r w:rsidR="00493D4D" w:rsidRPr="008C3A1B">
        <w:rPr>
          <w:rFonts w:eastAsia="Calibri" w:cs="Calibri"/>
          <w:i/>
          <w:iCs/>
          <w:sz w:val="24"/>
          <w:szCs w:val="24"/>
        </w:rPr>
        <w:t xml:space="preserve"> påpeke at mandatet for gruppen ikke må begrenses av dagens økonomiske ramme for bostøtten.</w:t>
      </w:r>
    </w:p>
    <w:p w14:paraId="14059162" w14:textId="3C0CA784" w:rsidR="008E7E2E" w:rsidRPr="00EF43DA" w:rsidRDefault="008E7E2E" w:rsidP="008E7E2E">
      <w:pPr>
        <w:spacing w:after="0"/>
        <w:rPr>
          <w:b/>
          <w:bCs/>
        </w:rPr>
      </w:pPr>
    </w:p>
    <w:p w14:paraId="3245EE4B" w14:textId="57E22D9B" w:rsidR="00F95C1D" w:rsidRPr="00A4087D" w:rsidRDefault="00F95C1D" w:rsidP="00F95C1D">
      <w:pPr>
        <w:pStyle w:val="Rentekst"/>
        <w:rPr>
          <w:rFonts w:asciiTheme="minorHAnsi" w:hAnsiTheme="minorHAnsi"/>
        </w:rPr>
      </w:pPr>
      <w:r w:rsidRPr="00A4087D">
        <w:rPr>
          <w:rFonts w:asciiTheme="minorHAnsi" w:hAnsiTheme="minorHAnsi" w:cs="Arial"/>
          <w:b/>
          <w:bCs/>
        </w:rPr>
        <w:t xml:space="preserve">Kapittel 540 Digitaliseringsdirektoratet </w:t>
      </w:r>
    </w:p>
    <w:p w14:paraId="2D6EA97E" w14:textId="189C4455" w:rsidR="00F95C1D" w:rsidRPr="00A4087D" w:rsidRDefault="00F95C1D" w:rsidP="00F95C1D">
      <w:pPr>
        <w:rPr>
          <w:sz w:val="24"/>
          <w:szCs w:val="24"/>
        </w:rPr>
      </w:pPr>
      <w:r w:rsidRPr="00A4087D">
        <w:rPr>
          <w:rFonts w:cs="Arial"/>
          <w:sz w:val="24"/>
          <w:szCs w:val="24"/>
        </w:rPr>
        <w:t xml:space="preserve">Fra 2021 vil krav til universell utforming av IKT gjelde for alle digitale løsninger for allmenheten, </w:t>
      </w:r>
      <w:r w:rsidR="007B3874">
        <w:rPr>
          <w:rFonts w:cs="Arial"/>
          <w:sz w:val="24"/>
          <w:szCs w:val="24"/>
        </w:rPr>
        <w:t xml:space="preserve">det vi si </w:t>
      </w:r>
      <w:r w:rsidRPr="00A4087D">
        <w:rPr>
          <w:rFonts w:cs="Arial"/>
          <w:sz w:val="24"/>
          <w:szCs w:val="24"/>
        </w:rPr>
        <w:t xml:space="preserve">alle eksisterende løsninger </w:t>
      </w:r>
      <w:r w:rsidR="007B3874">
        <w:rPr>
          <w:rFonts w:cs="Arial"/>
          <w:sz w:val="24"/>
          <w:szCs w:val="24"/>
        </w:rPr>
        <w:t xml:space="preserve">og </w:t>
      </w:r>
      <w:r w:rsidRPr="00A4087D">
        <w:rPr>
          <w:rFonts w:cs="Arial"/>
          <w:sz w:val="24"/>
          <w:szCs w:val="24"/>
        </w:rPr>
        <w:t xml:space="preserve">ikke kun nye. I tillegg har dette året med </w:t>
      </w:r>
      <w:r w:rsidR="007B3874">
        <w:rPr>
          <w:rFonts w:cs="Arial"/>
          <w:sz w:val="24"/>
          <w:szCs w:val="24"/>
        </w:rPr>
        <w:t>K</w:t>
      </w:r>
      <w:r w:rsidRPr="00A4087D">
        <w:rPr>
          <w:rFonts w:cs="Arial"/>
          <w:sz w:val="24"/>
          <w:szCs w:val="24"/>
        </w:rPr>
        <w:t>orona</w:t>
      </w:r>
      <w:r w:rsidR="00A8682C">
        <w:rPr>
          <w:rFonts w:cs="Arial"/>
          <w:sz w:val="24"/>
          <w:szCs w:val="24"/>
        </w:rPr>
        <w:t>pandemi</w:t>
      </w:r>
      <w:r w:rsidRPr="00A4087D">
        <w:rPr>
          <w:rFonts w:cs="Arial"/>
          <w:sz w:val="24"/>
          <w:szCs w:val="24"/>
        </w:rPr>
        <w:t xml:space="preserve"> vist hvor viktig det er at digitale løsninger er inkluderende og at dagens digitale gap reduseres. Det digitale Norge bygges nå – vi må unngå digitale barrierer som blir k</w:t>
      </w:r>
      <w:r w:rsidR="00A8682C">
        <w:rPr>
          <w:rFonts w:cs="Arial"/>
          <w:sz w:val="24"/>
          <w:szCs w:val="24"/>
        </w:rPr>
        <w:t>ostbare og tidskrevende å</w:t>
      </w:r>
      <w:r w:rsidRPr="00A4087D">
        <w:rPr>
          <w:rFonts w:cs="Arial"/>
          <w:sz w:val="24"/>
          <w:szCs w:val="24"/>
        </w:rPr>
        <w:t xml:space="preserve"> reparere i fremtiden. Universell utforming av IKT-løsninger er bra for alle og en hovednøkkel for inkludering av synshemmede</w:t>
      </w:r>
    </w:p>
    <w:p w14:paraId="1C830D58" w14:textId="545BE4CD" w:rsidR="00F95C1D" w:rsidRPr="00A4087D" w:rsidRDefault="00F95C1D" w:rsidP="009C44EA">
      <w:pPr>
        <w:rPr>
          <w:sz w:val="24"/>
          <w:szCs w:val="24"/>
        </w:rPr>
      </w:pPr>
      <w:r w:rsidRPr="00A4087D">
        <w:rPr>
          <w:rFonts w:cs="Arial"/>
          <w:sz w:val="24"/>
          <w:szCs w:val="24"/>
        </w:rPr>
        <w:t>Dagens tilsyn for universell utforming av IKT har i dag 14 ansatte, som er svært få sammenlignet med Datatilsynets 45 ansatte (kap</w:t>
      </w:r>
      <w:r w:rsidR="0085469A">
        <w:rPr>
          <w:rFonts w:cs="Arial"/>
          <w:sz w:val="24"/>
          <w:szCs w:val="24"/>
        </w:rPr>
        <w:t>.</w:t>
      </w:r>
      <w:r w:rsidRPr="00A4087D">
        <w:rPr>
          <w:rFonts w:cs="Arial"/>
          <w:sz w:val="24"/>
          <w:szCs w:val="24"/>
        </w:rPr>
        <w:t xml:space="preserve"> 545). Det er viktig at tilsynet for universell utforming av IKT ytterligere styrkes slik at de kan påse bedre etterlevelse av dagens </w:t>
      </w:r>
      <w:r w:rsidR="00FF149C">
        <w:rPr>
          <w:rFonts w:cs="Arial"/>
          <w:sz w:val="24"/>
          <w:szCs w:val="24"/>
        </w:rPr>
        <w:t xml:space="preserve">universell utformings </w:t>
      </w:r>
      <w:r w:rsidRPr="00A4087D">
        <w:rPr>
          <w:rFonts w:cs="Arial"/>
          <w:sz w:val="24"/>
          <w:szCs w:val="24"/>
        </w:rPr>
        <w:t xml:space="preserve">regelverk. Tilsynets statusrapport for 2018 viste at kun 60 prosent av målingene var i samsvar med lovpålagte krav. </w:t>
      </w:r>
    </w:p>
    <w:p w14:paraId="25F059D6" w14:textId="77777777" w:rsidR="00FE7DED" w:rsidRDefault="00937005" w:rsidP="005812A1">
      <w:pPr>
        <w:pStyle w:val="Rentekst"/>
        <w:spacing w:after="120"/>
        <w:rPr>
          <w:rFonts w:asciiTheme="minorHAnsi" w:hAnsiTheme="minorHAnsi" w:cs="Arial"/>
        </w:rPr>
      </w:pPr>
      <w:r>
        <w:rPr>
          <w:rFonts w:asciiTheme="minorHAnsi" w:hAnsiTheme="minorHAnsi"/>
        </w:rPr>
        <w:t>CRPD</w:t>
      </w:r>
      <w:r w:rsidR="006A2264" w:rsidRPr="006A2264">
        <w:rPr>
          <w:rFonts w:asciiTheme="minorHAnsi" w:hAnsiTheme="minorHAnsi"/>
        </w:rPr>
        <w:t xml:space="preserve">-komiteen </w:t>
      </w:r>
      <w:r w:rsidR="006A2264">
        <w:rPr>
          <w:rFonts w:asciiTheme="minorHAnsi" w:hAnsiTheme="minorHAnsi"/>
        </w:rPr>
        <w:t>har</w:t>
      </w:r>
      <w:r w:rsidR="006A2264" w:rsidRPr="006A2264">
        <w:rPr>
          <w:rFonts w:asciiTheme="minorHAnsi" w:hAnsiTheme="minorHAnsi"/>
        </w:rPr>
        <w:t xml:space="preserve"> i sine merknader til Regjeringen (mai 2019</w:t>
      </w:r>
      <w:r w:rsidR="00922C78">
        <w:rPr>
          <w:rFonts w:asciiTheme="minorHAnsi" w:hAnsiTheme="minorHAnsi"/>
        </w:rPr>
        <w:t xml:space="preserve">) </w:t>
      </w:r>
      <w:r w:rsidR="00F95C1D" w:rsidRPr="00A4087D">
        <w:rPr>
          <w:rFonts w:asciiTheme="minorHAnsi" w:hAnsiTheme="minorHAnsi" w:cs="Arial"/>
        </w:rPr>
        <w:t>anbefalt norske myndigheter å bruke sanksjonsmuligheter for bedre etterlevelse av artikkel 9 i FNs konvensjon for rettigheter til personer med nedsatt funksjonsevne. Digitaliseringsdirektoratet har allerede i dag anledning til å gi bøter til virksomheter som ikke oppfyller krav til universell utforming av IKT-løsninger rettet mot allmennheten. Erfaring med tilsyn av både SAS og Askøy kommune viser at bøte</w:t>
      </w:r>
      <w:r w:rsidR="001241D5">
        <w:rPr>
          <w:rFonts w:asciiTheme="minorHAnsi" w:hAnsiTheme="minorHAnsi" w:cs="Arial"/>
        </w:rPr>
        <w:t>-</w:t>
      </w:r>
      <w:r w:rsidR="00F95C1D" w:rsidRPr="00A4087D">
        <w:rPr>
          <w:rFonts w:asciiTheme="minorHAnsi" w:hAnsiTheme="minorHAnsi" w:cs="Arial"/>
        </w:rPr>
        <w:t xml:space="preserve">legging er et effektivt tiltak for å sikre bedre etterlevelse av loven. </w:t>
      </w:r>
    </w:p>
    <w:p w14:paraId="1BEBD2BF" w14:textId="4100A135" w:rsidR="002014CA" w:rsidRPr="002014CA" w:rsidRDefault="007668E6" w:rsidP="002014CA">
      <w:pPr>
        <w:pStyle w:val="Rentekst"/>
        <w:spacing w:after="120"/>
        <w:rPr>
          <w:rFonts w:asciiTheme="minorHAnsi" w:hAnsiTheme="minorHAnsi" w:cs="Arial"/>
          <w:i/>
          <w:iCs/>
        </w:rPr>
      </w:pPr>
      <w:r w:rsidRPr="002014CA">
        <w:rPr>
          <w:rFonts w:asciiTheme="minorHAnsi" w:hAnsiTheme="minorHAnsi" w:cs="Arial"/>
          <w:i/>
          <w:iCs/>
        </w:rPr>
        <w:t xml:space="preserve">FFO ber </w:t>
      </w:r>
      <w:r w:rsidR="005812A1" w:rsidRPr="002014CA">
        <w:rPr>
          <w:rFonts w:asciiTheme="minorHAnsi" w:hAnsiTheme="minorHAnsi" w:cs="Arial"/>
          <w:i/>
          <w:iCs/>
        </w:rPr>
        <w:t xml:space="preserve">komiteen </w:t>
      </w:r>
      <w:r w:rsidR="00FE7DED" w:rsidRPr="002014CA">
        <w:rPr>
          <w:rFonts w:asciiTheme="minorHAnsi" w:hAnsiTheme="minorHAnsi" w:cs="Arial"/>
          <w:i/>
          <w:iCs/>
        </w:rPr>
        <w:t>om å:</w:t>
      </w:r>
      <w:r w:rsidR="002014CA" w:rsidRPr="002014CA">
        <w:rPr>
          <w:rFonts w:asciiTheme="minorHAnsi" w:hAnsiTheme="minorHAnsi" w:cs="Arial"/>
          <w:i/>
          <w:iCs/>
        </w:rPr>
        <w:t xml:space="preserve"> </w:t>
      </w:r>
    </w:p>
    <w:p w14:paraId="2BB0B2B2" w14:textId="2B7E91FA" w:rsidR="00F95C1D" w:rsidRPr="002014CA" w:rsidRDefault="00E419FC" w:rsidP="00E419FC">
      <w:pPr>
        <w:pStyle w:val="Rentekst"/>
        <w:spacing w:after="120"/>
        <w:rPr>
          <w:rFonts w:asciiTheme="minorHAnsi" w:hAnsiTheme="minorHAnsi"/>
          <w:i/>
          <w:iCs/>
        </w:rPr>
      </w:pPr>
      <w:r>
        <w:rPr>
          <w:rFonts w:asciiTheme="minorHAnsi" w:hAnsiTheme="minorHAnsi" w:cs="Arial"/>
          <w:i/>
          <w:iCs/>
        </w:rPr>
        <w:t xml:space="preserve">- </w:t>
      </w:r>
      <w:r w:rsidR="005812A1" w:rsidRPr="002014CA">
        <w:rPr>
          <w:rFonts w:asciiTheme="minorHAnsi" w:hAnsiTheme="minorHAnsi" w:cs="Arial"/>
          <w:i/>
          <w:iCs/>
        </w:rPr>
        <w:t xml:space="preserve">støtte forslaget om å </w:t>
      </w:r>
      <w:r w:rsidR="00F95C1D" w:rsidRPr="002014CA">
        <w:rPr>
          <w:rFonts w:asciiTheme="minorHAnsi" w:hAnsiTheme="minorHAnsi" w:cs="Arial"/>
          <w:i/>
          <w:iCs/>
        </w:rPr>
        <w:t>styrke tilsynsmyndigheten for universell utforming av IKT-løsninger under det nye Digitaliseringsdirektoratet med kr. 10 millioner under kapittel 540</w:t>
      </w:r>
      <w:r w:rsidR="00890D8A" w:rsidRPr="002014CA">
        <w:rPr>
          <w:rFonts w:asciiTheme="minorHAnsi" w:hAnsiTheme="minorHAnsi" w:cs="Arial"/>
          <w:i/>
          <w:iCs/>
        </w:rPr>
        <w:t xml:space="preserve"> og øke bruken av bøte</w:t>
      </w:r>
      <w:bookmarkStart w:id="4" w:name="_GoBack"/>
      <w:bookmarkEnd w:id="4"/>
      <w:r w:rsidR="00890D8A" w:rsidRPr="002014CA">
        <w:rPr>
          <w:rFonts w:asciiTheme="minorHAnsi" w:hAnsiTheme="minorHAnsi" w:cs="Arial"/>
          <w:i/>
          <w:iCs/>
        </w:rPr>
        <w:t xml:space="preserve">legging av de som ikke </w:t>
      </w:r>
      <w:r w:rsidR="00390266" w:rsidRPr="002014CA">
        <w:rPr>
          <w:rFonts w:asciiTheme="minorHAnsi" w:hAnsiTheme="minorHAnsi" w:cs="Arial"/>
          <w:i/>
          <w:iCs/>
        </w:rPr>
        <w:t>etterlever</w:t>
      </w:r>
      <w:r w:rsidR="00890D8A" w:rsidRPr="002014CA">
        <w:rPr>
          <w:rFonts w:asciiTheme="minorHAnsi" w:hAnsiTheme="minorHAnsi" w:cs="Arial"/>
          <w:i/>
          <w:iCs/>
        </w:rPr>
        <w:t xml:space="preserve"> </w:t>
      </w:r>
      <w:r w:rsidR="00A23909" w:rsidRPr="002014CA">
        <w:rPr>
          <w:rFonts w:asciiTheme="minorHAnsi" w:hAnsiTheme="minorHAnsi" w:cs="Arial"/>
          <w:i/>
          <w:iCs/>
        </w:rPr>
        <w:t>universell utformings</w:t>
      </w:r>
      <w:r w:rsidR="00390266" w:rsidRPr="002014CA">
        <w:rPr>
          <w:rFonts w:asciiTheme="minorHAnsi" w:hAnsiTheme="minorHAnsi" w:cs="Arial"/>
          <w:i/>
          <w:iCs/>
        </w:rPr>
        <w:t>regelverket</w:t>
      </w:r>
      <w:r w:rsidR="00F95C1D" w:rsidRPr="002014CA">
        <w:rPr>
          <w:rFonts w:asciiTheme="minorHAnsi" w:hAnsiTheme="minorHAnsi" w:cs="Arial"/>
          <w:i/>
          <w:iCs/>
        </w:rPr>
        <w:t>.</w:t>
      </w:r>
      <w:r w:rsidR="00F95C1D" w:rsidRPr="002014CA">
        <w:rPr>
          <w:rFonts w:asciiTheme="minorHAnsi" w:hAnsiTheme="minorHAnsi" w:cs="Arial"/>
          <w:b/>
          <w:bCs/>
          <w:i/>
          <w:iCs/>
        </w:rPr>
        <w:t xml:space="preserve"> </w:t>
      </w:r>
    </w:p>
    <w:p w14:paraId="72C0B253" w14:textId="101C1E9C" w:rsidR="004D184C" w:rsidRPr="0050056A" w:rsidRDefault="004D184C" w:rsidP="00387721">
      <w:pPr>
        <w:spacing w:after="0"/>
        <w:rPr>
          <w:i/>
          <w:iCs/>
          <w:sz w:val="24"/>
          <w:szCs w:val="24"/>
        </w:rPr>
      </w:pPr>
      <w:r w:rsidRPr="0056585A">
        <w:rPr>
          <w:rFonts w:eastAsia="ArialMT"/>
          <w:i/>
          <w:sz w:val="24"/>
          <w:szCs w:val="24"/>
        </w:rPr>
        <w:br/>
      </w:r>
      <w:bookmarkEnd w:id="1"/>
      <w:bookmarkEnd w:id="2"/>
      <w:bookmarkEnd w:id="3"/>
    </w:p>
    <w:sectPr w:rsidR="004D184C" w:rsidRPr="005005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9AE7D" w14:textId="77777777" w:rsidR="000365A8" w:rsidRDefault="000365A8" w:rsidP="00D657D6">
      <w:pPr>
        <w:spacing w:after="0" w:line="240" w:lineRule="auto"/>
      </w:pPr>
      <w:r>
        <w:separator/>
      </w:r>
    </w:p>
  </w:endnote>
  <w:endnote w:type="continuationSeparator" w:id="0">
    <w:p w14:paraId="25B40188" w14:textId="77777777" w:rsidR="000365A8" w:rsidRDefault="000365A8" w:rsidP="00D657D6">
      <w:pPr>
        <w:spacing w:after="0" w:line="240" w:lineRule="auto"/>
      </w:pPr>
      <w:r>
        <w:continuationSeparator/>
      </w:r>
    </w:p>
  </w:endnote>
  <w:endnote w:type="continuationNotice" w:id="1">
    <w:p w14:paraId="1EB82BB4" w14:textId="77777777" w:rsidR="000365A8" w:rsidRDefault="00036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9172A" w14:textId="77777777" w:rsidR="000365A8" w:rsidRDefault="000365A8" w:rsidP="00D657D6">
      <w:pPr>
        <w:spacing w:after="0" w:line="240" w:lineRule="auto"/>
      </w:pPr>
      <w:r>
        <w:separator/>
      </w:r>
    </w:p>
  </w:footnote>
  <w:footnote w:type="continuationSeparator" w:id="0">
    <w:p w14:paraId="5E8DAA1A" w14:textId="77777777" w:rsidR="000365A8" w:rsidRDefault="000365A8" w:rsidP="00D657D6">
      <w:pPr>
        <w:spacing w:after="0" w:line="240" w:lineRule="auto"/>
      </w:pPr>
      <w:r>
        <w:continuationSeparator/>
      </w:r>
    </w:p>
  </w:footnote>
  <w:footnote w:type="continuationNotice" w:id="1">
    <w:p w14:paraId="1682DC59" w14:textId="77777777" w:rsidR="000365A8" w:rsidRDefault="000365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FD7"/>
    <w:multiLevelType w:val="hybridMultilevel"/>
    <w:tmpl w:val="15444D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56A49AB"/>
    <w:multiLevelType w:val="hybridMultilevel"/>
    <w:tmpl w:val="C5CCC9AE"/>
    <w:lvl w:ilvl="0" w:tplc="04140001">
      <w:start w:val="1"/>
      <w:numFmt w:val="bullet"/>
      <w:lvlText w:val=""/>
      <w:lvlJc w:val="left"/>
      <w:pPr>
        <w:ind w:left="1791" w:hanging="360"/>
      </w:pPr>
      <w:rPr>
        <w:rFonts w:ascii="Symbol" w:hAnsi="Symbol" w:hint="default"/>
      </w:rPr>
    </w:lvl>
    <w:lvl w:ilvl="1" w:tplc="04140003">
      <w:start w:val="1"/>
      <w:numFmt w:val="bullet"/>
      <w:lvlText w:val="o"/>
      <w:lvlJc w:val="left"/>
      <w:pPr>
        <w:ind w:left="2511" w:hanging="360"/>
      </w:pPr>
      <w:rPr>
        <w:rFonts w:ascii="Courier New" w:hAnsi="Courier New" w:cs="Courier New" w:hint="default"/>
      </w:rPr>
    </w:lvl>
    <w:lvl w:ilvl="2" w:tplc="04140005">
      <w:start w:val="1"/>
      <w:numFmt w:val="bullet"/>
      <w:lvlText w:val=""/>
      <w:lvlJc w:val="left"/>
      <w:pPr>
        <w:ind w:left="3231" w:hanging="360"/>
      </w:pPr>
      <w:rPr>
        <w:rFonts w:ascii="Wingdings" w:hAnsi="Wingdings" w:hint="default"/>
      </w:rPr>
    </w:lvl>
    <w:lvl w:ilvl="3" w:tplc="04140001">
      <w:start w:val="1"/>
      <w:numFmt w:val="bullet"/>
      <w:lvlText w:val=""/>
      <w:lvlJc w:val="left"/>
      <w:pPr>
        <w:ind w:left="3951" w:hanging="360"/>
      </w:pPr>
      <w:rPr>
        <w:rFonts w:ascii="Symbol" w:hAnsi="Symbol" w:hint="default"/>
      </w:rPr>
    </w:lvl>
    <w:lvl w:ilvl="4" w:tplc="04140003">
      <w:start w:val="1"/>
      <w:numFmt w:val="bullet"/>
      <w:lvlText w:val="o"/>
      <w:lvlJc w:val="left"/>
      <w:pPr>
        <w:ind w:left="4671" w:hanging="360"/>
      </w:pPr>
      <w:rPr>
        <w:rFonts w:ascii="Courier New" w:hAnsi="Courier New" w:cs="Courier New" w:hint="default"/>
      </w:rPr>
    </w:lvl>
    <w:lvl w:ilvl="5" w:tplc="04140005">
      <w:start w:val="1"/>
      <w:numFmt w:val="bullet"/>
      <w:lvlText w:val=""/>
      <w:lvlJc w:val="left"/>
      <w:pPr>
        <w:ind w:left="5391" w:hanging="360"/>
      </w:pPr>
      <w:rPr>
        <w:rFonts w:ascii="Wingdings" w:hAnsi="Wingdings" w:hint="default"/>
      </w:rPr>
    </w:lvl>
    <w:lvl w:ilvl="6" w:tplc="04140001">
      <w:start w:val="1"/>
      <w:numFmt w:val="bullet"/>
      <w:lvlText w:val=""/>
      <w:lvlJc w:val="left"/>
      <w:pPr>
        <w:ind w:left="6111" w:hanging="360"/>
      </w:pPr>
      <w:rPr>
        <w:rFonts w:ascii="Symbol" w:hAnsi="Symbol" w:hint="default"/>
      </w:rPr>
    </w:lvl>
    <w:lvl w:ilvl="7" w:tplc="04140003">
      <w:start w:val="1"/>
      <w:numFmt w:val="bullet"/>
      <w:lvlText w:val="o"/>
      <w:lvlJc w:val="left"/>
      <w:pPr>
        <w:ind w:left="6831" w:hanging="360"/>
      </w:pPr>
      <w:rPr>
        <w:rFonts w:ascii="Courier New" w:hAnsi="Courier New" w:cs="Courier New" w:hint="default"/>
      </w:rPr>
    </w:lvl>
    <w:lvl w:ilvl="8" w:tplc="04140005">
      <w:start w:val="1"/>
      <w:numFmt w:val="bullet"/>
      <w:lvlText w:val=""/>
      <w:lvlJc w:val="left"/>
      <w:pPr>
        <w:ind w:left="7551" w:hanging="360"/>
      </w:pPr>
      <w:rPr>
        <w:rFonts w:ascii="Wingdings" w:hAnsi="Wingdings" w:hint="default"/>
      </w:rPr>
    </w:lvl>
  </w:abstractNum>
  <w:abstractNum w:abstractNumId="2"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3812080"/>
    <w:multiLevelType w:val="hybridMultilevel"/>
    <w:tmpl w:val="CCF69394"/>
    <w:lvl w:ilvl="0" w:tplc="4FE80E74">
      <w:numFmt w:val="bullet"/>
      <w:lvlText w:val="-"/>
      <w:lvlJc w:val="left"/>
      <w:pPr>
        <w:ind w:left="720" w:hanging="360"/>
      </w:pPr>
      <w:rPr>
        <w:rFonts w:ascii="Calibri" w:eastAsiaTheme="minorHAnsi"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59833D6"/>
    <w:multiLevelType w:val="hybridMultilevel"/>
    <w:tmpl w:val="3AC2A0C2"/>
    <w:lvl w:ilvl="0" w:tplc="142A0A08">
      <w:numFmt w:val="bullet"/>
      <w:lvlText w:val="-"/>
      <w:lvlJc w:val="left"/>
      <w:pPr>
        <w:ind w:left="720" w:hanging="360"/>
      </w:pPr>
      <w:rPr>
        <w:rFonts w:ascii="Calibri" w:eastAsiaTheme="minorHAnsi"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2834FC7"/>
    <w:multiLevelType w:val="hybridMultilevel"/>
    <w:tmpl w:val="27E26E6C"/>
    <w:lvl w:ilvl="0" w:tplc="7D967D52">
      <w:numFmt w:val="bullet"/>
      <w:lvlText w:val="-"/>
      <w:lvlJc w:val="left"/>
      <w:pPr>
        <w:ind w:left="720" w:hanging="360"/>
      </w:pPr>
      <w:rPr>
        <w:rFonts w:ascii="Calibri" w:eastAsiaTheme="minorHAnsi"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95F0443"/>
    <w:multiLevelType w:val="hybridMultilevel"/>
    <w:tmpl w:val="0D7E2178"/>
    <w:lvl w:ilvl="0" w:tplc="A0707B50">
      <w:numFmt w:val="bullet"/>
      <w:lvlText w:val="-"/>
      <w:lvlJc w:val="left"/>
      <w:pPr>
        <w:ind w:left="720" w:hanging="360"/>
      </w:pPr>
      <w:rPr>
        <w:rFonts w:ascii="Calibri" w:eastAsiaTheme="minorHAnsi"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BF"/>
    <w:rsid w:val="0002029C"/>
    <w:rsid w:val="00030847"/>
    <w:rsid w:val="000360EC"/>
    <w:rsid w:val="000365A8"/>
    <w:rsid w:val="00063A9B"/>
    <w:rsid w:val="000837F4"/>
    <w:rsid w:val="000859A2"/>
    <w:rsid w:val="00093F82"/>
    <w:rsid w:val="00096004"/>
    <w:rsid w:val="000A13A9"/>
    <w:rsid w:val="000A6933"/>
    <w:rsid w:val="000B5CC4"/>
    <w:rsid w:val="000C6596"/>
    <w:rsid w:val="000D294E"/>
    <w:rsid w:val="000E1C39"/>
    <w:rsid w:val="000F0253"/>
    <w:rsid w:val="00100D82"/>
    <w:rsid w:val="00123137"/>
    <w:rsid w:val="001241D5"/>
    <w:rsid w:val="00125CD0"/>
    <w:rsid w:val="00130D91"/>
    <w:rsid w:val="001434C7"/>
    <w:rsid w:val="00172DD2"/>
    <w:rsid w:val="001A6EBF"/>
    <w:rsid w:val="001D0F28"/>
    <w:rsid w:val="001D43C6"/>
    <w:rsid w:val="001E2D70"/>
    <w:rsid w:val="002014CA"/>
    <w:rsid w:val="002048E3"/>
    <w:rsid w:val="00211E31"/>
    <w:rsid w:val="00234019"/>
    <w:rsid w:val="00235CE3"/>
    <w:rsid w:val="00246A15"/>
    <w:rsid w:val="002648E7"/>
    <w:rsid w:val="0026500B"/>
    <w:rsid w:val="002723AE"/>
    <w:rsid w:val="002835C4"/>
    <w:rsid w:val="00294AA8"/>
    <w:rsid w:val="002A7608"/>
    <w:rsid w:val="002B3B57"/>
    <w:rsid w:val="002E0C83"/>
    <w:rsid w:val="002F3471"/>
    <w:rsid w:val="002F74C6"/>
    <w:rsid w:val="003211FE"/>
    <w:rsid w:val="00325DFC"/>
    <w:rsid w:val="00327DE7"/>
    <w:rsid w:val="0034625B"/>
    <w:rsid w:val="0035394A"/>
    <w:rsid w:val="00361B96"/>
    <w:rsid w:val="003631BF"/>
    <w:rsid w:val="00387721"/>
    <w:rsid w:val="00390266"/>
    <w:rsid w:val="00393A86"/>
    <w:rsid w:val="003A1675"/>
    <w:rsid w:val="003C3965"/>
    <w:rsid w:val="003E7D7D"/>
    <w:rsid w:val="004057D9"/>
    <w:rsid w:val="0041095E"/>
    <w:rsid w:val="004239F2"/>
    <w:rsid w:val="00431FE2"/>
    <w:rsid w:val="00434B8A"/>
    <w:rsid w:val="00452E9F"/>
    <w:rsid w:val="00486702"/>
    <w:rsid w:val="00493D4D"/>
    <w:rsid w:val="00495147"/>
    <w:rsid w:val="004A3D8D"/>
    <w:rsid w:val="004D184C"/>
    <w:rsid w:val="004D679B"/>
    <w:rsid w:val="004E0077"/>
    <w:rsid w:val="004F6935"/>
    <w:rsid w:val="0050056A"/>
    <w:rsid w:val="005015BD"/>
    <w:rsid w:val="005121BB"/>
    <w:rsid w:val="00522234"/>
    <w:rsid w:val="00550A48"/>
    <w:rsid w:val="0056585A"/>
    <w:rsid w:val="005812A1"/>
    <w:rsid w:val="005A7E4F"/>
    <w:rsid w:val="005B0A4C"/>
    <w:rsid w:val="005B258F"/>
    <w:rsid w:val="005C7062"/>
    <w:rsid w:val="005D089D"/>
    <w:rsid w:val="006154B7"/>
    <w:rsid w:val="0064748B"/>
    <w:rsid w:val="0068312F"/>
    <w:rsid w:val="00683617"/>
    <w:rsid w:val="006A2264"/>
    <w:rsid w:val="006A4DE4"/>
    <w:rsid w:val="006A6BE9"/>
    <w:rsid w:val="006B70BE"/>
    <w:rsid w:val="006E0336"/>
    <w:rsid w:val="006F3002"/>
    <w:rsid w:val="00700CA9"/>
    <w:rsid w:val="0071633C"/>
    <w:rsid w:val="00723FAC"/>
    <w:rsid w:val="0074304E"/>
    <w:rsid w:val="007570E3"/>
    <w:rsid w:val="00757B44"/>
    <w:rsid w:val="00763D22"/>
    <w:rsid w:val="00764140"/>
    <w:rsid w:val="0076619C"/>
    <w:rsid w:val="007668E6"/>
    <w:rsid w:val="007909FA"/>
    <w:rsid w:val="00793249"/>
    <w:rsid w:val="007A06A7"/>
    <w:rsid w:val="007A33BA"/>
    <w:rsid w:val="007B170A"/>
    <w:rsid w:val="007B3874"/>
    <w:rsid w:val="007C31F3"/>
    <w:rsid w:val="007C4B83"/>
    <w:rsid w:val="007C6266"/>
    <w:rsid w:val="007D06C5"/>
    <w:rsid w:val="007E231A"/>
    <w:rsid w:val="00813A16"/>
    <w:rsid w:val="00814E81"/>
    <w:rsid w:val="00817756"/>
    <w:rsid w:val="00823AF8"/>
    <w:rsid w:val="00847A7B"/>
    <w:rsid w:val="0085469A"/>
    <w:rsid w:val="00866558"/>
    <w:rsid w:val="00890D8A"/>
    <w:rsid w:val="008C01CB"/>
    <w:rsid w:val="008C1DA3"/>
    <w:rsid w:val="008C3A1B"/>
    <w:rsid w:val="008E7E2E"/>
    <w:rsid w:val="008F5F15"/>
    <w:rsid w:val="009060DF"/>
    <w:rsid w:val="00911D80"/>
    <w:rsid w:val="009137F7"/>
    <w:rsid w:val="00920C28"/>
    <w:rsid w:val="00922C78"/>
    <w:rsid w:val="00924479"/>
    <w:rsid w:val="00926C56"/>
    <w:rsid w:val="00937005"/>
    <w:rsid w:val="00967BA9"/>
    <w:rsid w:val="00967ECE"/>
    <w:rsid w:val="00981B29"/>
    <w:rsid w:val="00991B5A"/>
    <w:rsid w:val="00995D28"/>
    <w:rsid w:val="009A557C"/>
    <w:rsid w:val="009B58E4"/>
    <w:rsid w:val="009C202F"/>
    <w:rsid w:val="009C44EA"/>
    <w:rsid w:val="009D2308"/>
    <w:rsid w:val="009F62B1"/>
    <w:rsid w:val="00A01A91"/>
    <w:rsid w:val="00A0536E"/>
    <w:rsid w:val="00A23909"/>
    <w:rsid w:val="00A3791A"/>
    <w:rsid w:val="00A4087D"/>
    <w:rsid w:val="00A6162F"/>
    <w:rsid w:val="00A8682C"/>
    <w:rsid w:val="00AA7059"/>
    <w:rsid w:val="00AC7AF0"/>
    <w:rsid w:val="00AD1143"/>
    <w:rsid w:val="00AE0652"/>
    <w:rsid w:val="00AE235E"/>
    <w:rsid w:val="00AE31EC"/>
    <w:rsid w:val="00AF675C"/>
    <w:rsid w:val="00B078CC"/>
    <w:rsid w:val="00B101F9"/>
    <w:rsid w:val="00B271B2"/>
    <w:rsid w:val="00B443B9"/>
    <w:rsid w:val="00B5353F"/>
    <w:rsid w:val="00B54215"/>
    <w:rsid w:val="00B558A5"/>
    <w:rsid w:val="00B60EEF"/>
    <w:rsid w:val="00B60F36"/>
    <w:rsid w:val="00B61671"/>
    <w:rsid w:val="00B65EF9"/>
    <w:rsid w:val="00B73BB2"/>
    <w:rsid w:val="00B865AA"/>
    <w:rsid w:val="00BC0FD9"/>
    <w:rsid w:val="00BD171F"/>
    <w:rsid w:val="00BD3A62"/>
    <w:rsid w:val="00BE7799"/>
    <w:rsid w:val="00BF02BB"/>
    <w:rsid w:val="00BF50AE"/>
    <w:rsid w:val="00BF5F44"/>
    <w:rsid w:val="00C11572"/>
    <w:rsid w:val="00C2686B"/>
    <w:rsid w:val="00C329E1"/>
    <w:rsid w:val="00C41C48"/>
    <w:rsid w:val="00C42D64"/>
    <w:rsid w:val="00C64FE6"/>
    <w:rsid w:val="00C71332"/>
    <w:rsid w:val="00C9630B"/>
    <w:rsid w:val="00CA4B0A"/>
    <w:rsid w:val="00CB5E97"/>
    <w:rsid w:val="00CC283D"/>
    <w:rsid w:val="00CD607F"/>
    <w:rsid w:val="00CE3117"/>
    <w:rsid w:val="00CF202A"/>
    <w:rsid w:val="00D173B7"/>
    <w:rsid w:val="00D20247"/>
    <w:rsid w:val="00D44194"/>
    <w:rsid w:val="00D6050C"/>
    <w:rsid w:val="00D657D6"/>
    <w:rsid w:val="00D757F2"/>
    <w:rsid w:val="00D91206"/>
    <w:rsid w:val="00D96BAC"/>
    <w:rsid w:val="00DA12E6"/>
    <w:rsid w:val="00DB4141"/>
    <w:rsid w:val="00DB5B84"/>
    <w:rsid w:val="00DC0433"/>
    <w:rsid w:val="00DD5991"/>
    <w:rsid w:val="00DF2F4F"/>
    <w:rsid w:val="00E12593"/>
    <w:rsid w:val="00E12890"/>
    <w:rsid w:val="00E24B2E"/>
    <w:rsid w:val="00E343BE"/>
    <w:rsid w:val="00E419FC"/>
    <w:rsid w:val="00E56DE6"/>
    <w:rsid w:val="00E578BE"/>
    <w:rsid w:val="00E614BE"/>
    <w:rsid w:val="00E62B85"/>
    <w:rsid w:val="00E65721"/>
    <w:rsid w:val="00E70AEA"/>
    <w:rsid w:val="00E81BFD"/>
    <w:rsid w:val="00E90624"/>
    <w:rsid w:val="00E9168F"/>
    <w:rsid w:val="00E94E24"/>
    <w:rsid w:val="00EE1F3A"/>
    <w:rsid w:val="00EE26D0"/>
    <w:rsid w:val="00EF43DA"/>
    <w:rsid w:val="00F14BAC"/>
    <w:rsid w:val="00F24ED7"/>
    <w:rsid w:val="00F422EC"/>
    <w:rsid w:val="00F73BE7"/>
    <w:rsid w:val="00F84336"/>
    <w:rsid w:val="00F92E04"/>
    <w:rsid w:val="00F95C1D"/>
    <w:rsid w:val="00FB25D8"/>
    <w:rsid w:val="00FB551C"/>
    <w:rsid w:val="00FC4D4C"/>
    <w:rsid w:val="00FE7DED"/>
    <w:rsid w:val="00FF149C"/>
    <w:rsid w:val="00FF1D4E"/>
    <w:rsid w:val="00FF605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B026"/>
  <w15:chartTrackingRefBased/>
  <w15:docId w15:val="{2EA070F6-1796-4B4C-9B8B-4B5DBA26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EBF"/>
  </w:style>
  <w:style w:type="paragraph" w:styleId="Overskrift1">
    <w:name w:val="heading 1"/>
    <w:aliases w:val="ikke bruk 3"/>
    <w:basedOn w:val="Normal"/>
    <w:next w:val="Normal"/>
    <w:link w:val="Overskrift1Tegn"/>
    <w:uiPriority w:val="9"/>
    <w:rsid w:val="001A6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A6EBF"/>
    <w:pPr>
      <w:keepNext/>
      <w:keepLines/>
      <w:spacing w:before="40" w:after="0"/>
      <w:outlineLvl w:val="1"/>
    </w:pPr>
    <w:rPr>
      <w:rFonts w:asciiTheme="majorHAnsi" w:eastAsiaTheme="majorEastAsia" w:hAnsiTheme="majorHAnsi" w:cstheme="majorBidi"/>
      <w:color w:val="002060"/>
      <w:sz w:val="3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ikke bruk 3 Tegn"/>
    <w:basedOn w:val="Standardskriftforavsnitt"/>
    <w:link w:val="Overskrift1"/>
    <w:uiPriority w:val="9"/>
    <w:rsid w:val="001A6EB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A6EBF"/>
    <w:rPr>
      <w:rFonts w:asciiTheme="majorHAnsi" w:eastAsiaTheme="majorEastAsia" w:hAnsiTheme="majorHAnsi" w:cstheme="majorBidi"/>
      <w:color w:val="002060"/>
      <w:sz w:val="36"/>
      <w:szCs w:val="26"/>
    </w:rPr>
  </w:style>
  <w:style w:type="paragraph" w:customStyle="1" w:styleId="FFOoverskrift1">
    <w:name w:val="FFO overskrift 1"/>
    <w:basedOn w:val="Ingenmellomrom"/>
    <w:link w:val="FFOoverskrift1Tegn"/>
    <w:qFormat/>
    <w:rsid w:val="001A6EBF"/>
    <w:pPr>
      <w:spacing w:before="360" w:after="400"/>
    </w:pPr>
    <w:rPr>
      <w:rFonts w:asciiTheme="majorHAnsi" w:hAnsiTheme="majorHAnsi"/>
      <w:b/>
      <w:color w:val="002060"/>
      <w:sz w:val="44"/>
    </w:rPr>
  </w:style>
  <w:style w:type="paragraph" w:customStyle="1" w:styleId="FFOBrdtekst">
    <w:name w:val="FFO Brødtekst"/>
    <w:basedOn w:val="Normal"/>
    <w:link w:val="FFOBrdtekstTegn"/>
    <w:qFormat/>
    <w:rsid w:val="001A6EBF"/>
    <w:pPr>
      <w:spacing w:after="40"/>
    </w:pPr>
    <w:rPr>
      <w:sz w:val="24"/>
    </w:rPr>
  </w:style>
  <w:style w:type="character" w:customStyle="1" w:styleId="FFOoverskrift1Tegn">
    <w:name w:val="FFO overskrift 1 Tegn"/>
    <w:basedOn w:val="Standardskriftforavsnitt"/>
    <w:link w:val="FFOoverskrift1"/>
    <w:rsid w:val="001A6EBF"/>
    <w:rPr>
      <w:rFonts w:asciiTheme="majorHAnsi" w:hAnsiTheme="majorHAnsi"/>
      <w:b/>
      <w:color w:val="002060"/>
      <w:sz w:val="44"/>
    </w:rPr>
  </w:style>
  <w:style w:type="paragraph" w:customStyle="1" w:styleId="Overskrifttilrdning">
    <w:name w:val="Overskrift tilrådning"/>
    <w:basedOn w:val="Normal"/>
    <w:link w:val="OverskrifttilrdningTegn"/>
    <w:qFormat/>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FFOBrdtekstTegn">
    <w:name w:val="FFO Brødtekst Tegn"/>
    <w:basedOn w:val="Standardskriftforavsnitt"/>
    <w:link w:val="FFOBrdtekst"/>
    <w:rsid w:val="001A6EBF"/>
    <w:rPr>
      <w:sz w:val="24"/>
    </w:rPr>
  </w:style>
  <w:style w:type="character" w:customStyle="1" w:styleId="OverskrifttilrdningTegn">
    <w:name w:val="Overskrift tilrådning Tegn"/>
    <w:basedOn w:val="Standardskriftforavsnitt"/>
    <w:link w:val="Overskrifttilrdning"/>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qFormat/>
    <w:rsid w:val="001A6EBF"/>
    <w:pPr>
      <w:numPr>
        <w:numId w:val="1"/>
      </w:numPr>
      <w:spacing w:after="200" w:line="276" w:lineRule="auto"/>
      <w:contextualSpacing/>
    </w:pPr>
    <w:rPr>
      <w:i/>
      <w:sz w:val="24"/>
      <w:szCs w:val="24"/>
    </w:rPr>
  </w:style>
  <w:style w:type="character" w:customStyle="1" w:styleId="PunktlisteiboksFFOTegn">
    <w:name w:val="Punktliste i boks FFO Tegn"/>
    <w:basedOn w:val="Standardskriftforavsnitt"/>
    <w:link w:val="PunktlisteiboksFFO"/>
    <w:rsid w:val="001A6EBF"/>
    <w:rPr>
      <w:i/>
      <w:sz w:val="24"/>
      <w:szCs w:val="24"/>
    </w:rPr>
  </w:style>
  <w:style w:type="paragraph" w:customStyle="1" w:styleId="Forsideoverskrift">
    <w:name w:val="Forside overskrift"/>
    <w:basedOn w:val="Ingenmellomrom"/>
    <w:link w:val="ForsideoverskriftTegn"/>
    <w:qFormat/>
    <w:rsid w:val="001A6EBF"/>
    <w:pPr>
      <w:framePr w:hSpace="187" w:wrap="around" w:hAnchor="margin" w:xAlign="center" w:y="2881"/>
      <w:spacing w:line="216" w:lineRule="auto"/>
    </w:pPr>
    <w:rPr>
      <w:rFonts w:asciiTheme="majorHAnsi" w:eastAsiaTheme="majorEastAsia" w:hAnsiTheme="majorHAnsi" w:cstheme="majorBidi"/>
      <w:b/>
      <w:color w:val="002060"/>
      <w:sz w:val="56"/>
      <w:szCs w:val="88"/>
    </w:rPr>
  </w:style>
  <w:style w:type="character" w:customStyle="1" w:styleId="ForsideoverskriftTegn">
    <w:name w:val="Forside overskrift Tegn"/>
    <w:basedOn w:val="Standardskriftforavsnitt"/>
    <w:link w:val="Forsideoverskrift"/>
    <w:rsid w:val="001A6EBF"/>
    <w:rPr>
      <w:rFonts w:asciiTheme="majorHAnsi" w:eastAsiaTheme="majorEastAsia" w:hAnsiTheme="majorHAnsi" w:cstheme="majorBidi"/>
      <w:b/>
      <w:color w:val="002060"/>
      <w:sz w:val="56"/>
      <w:szCs w:val="88"/>
    </w:rPr>
  </w:style>
  <w:style w:type="paragraph" w:customStyle="1" w:styleId="Default">
    <w:name w:val="Default"/>
    <w:basedOn w:val="Normal"/>
    <w:rsid w:val="001A6EBF"/>
    <w:pPr>
      <w:autoSpaceDE w:val="0"/>
      <w:autoSpaceDN w:val="0"/>
      <w:spacing w:after="0" w:line="240" w:lineRule="auto"/>
    </w:pPr>
    <w:rPr>
      <w:rFonts w:ascii="Arial" w:hAnsi="Arial" w:cs="Arial"/>
      <w:color w:val="000000"/>
      <w:sz w:val="24"/>
      <w:szCs w:val="24"/>
    </w:rPr>
  </w:style>
  <w:style w:type="paragraph" w:styleId="Ingenmellomrom">
    <w:name w:val="No Spacing"/>
    <w:uiPriority w:val="1"/>
    <w:qFormat/>
    <w:rsid w:val="001A6EBF"/>
    <w:pPr>
      <w:spacing w:after="0" w:line="240" w:lineRule="auto"/>
    </w:pPr>
  </w:style>
  <w:style w:type="paragraph" w:styleId="Topptekst">
    <w:name w:val="header"/>
    <w:basedOn w:val="Normal"/>
    <w:link w:val="TopptekstTegn"/>
    <w:uiPriority w:val="99"/>
    <w:unhideWhenUsed/>
    <w:rsid w:val="00D657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57D6"/>
  </w:style>
  <w:style w:type="paragraph" w:styleId="Bunntekst">
    <w:name w:val="footer"/>
    <w:basedOn w:val="Normal"/>
    <w:link w:val="BunntekstTegn"/>
    <w:uiPriority w:val="99"/>
    <w:unhideWhenUsed/>
    <w:rsid w:val="00D657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57D6"/>
  </w:style>
  <w:style w:type="paragraph" w:styleId="Fotnotetekst">
    <w:name w:val="footnote text"/>
    <w:basedOn w:val="Normal"/>
    <w:link w:val="FotnotetekstTegn"/>
    <w:uiPriority w:val="99"/>
    <w:semiHidden/>
    <w:unhideWhenUsed/>
    <w:rsid w:val="00F14BA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14BAC"/>
    <w:rPr>
      <w:sz w:val="20"/>
      <w:szCs w:val="20"/>
    </w:rPr>
  </w:style>
  <w:style w:type="character" w:styleId="Fotnotereferanse">
    <w:name w:val="footnote reference"/>
    <w:basedOn w:val="Standardskriftforavsnitt"/>
    <w:uiPriority w:val="99"/>
    <w:semiHidden/>
    <w:unhideWhenUsed/>
    <w:rsid w:val="00F14BAC"/>
    <w:rPr>
      <w:vertAlign w:val="superscript"/>
    </w:rPr>
  </w:style>
  <w:style w:type="character" w:styleId="Hyperkobling">
    <w:name w:val="Hyperlink"/>
    <w:basedOn w:val="Standardskriftforavsnitt"/>
    <w:uiPriority w:val="99"/>
    <w:semiHidden/>
    <w:unhideWhenUsed/>
    <w:rsid w:val="00F95C1D"/>
    <w:rPr>
      <w:color w:val="0563C1"/>
      <w:u w:val="single"/>
    </w:rPr>
  </w:style>
  <w:style w:type="paragraph" w:styleId="Rentekst">
    <w:name w:val="Plain Text"/>
    <w:basedOn w:val="Normal"/>
    <w:link w:val="RentekstTegn"/>
    <w:uiPriority w:val="99"/>
    <w:unhideWhenUsed/>
    <w:rsid w:val="00F95C1D"/>
    <w:pPr>
      <w:spacing w:after="0" w:line="240" w:lineRule="auto"/>
    </w:pPr>
    <w:rPr>
      <w:rFonts w:ascii="Verdana" w:hAnsi="Verdana" w:cs="Calibri"/>
      <w:sz w:val="24"/>
      <w:szCs w:val="24"/>
    </w:rPr>
  </w:style>
  <w:style w:type="character" w:customStyle="1" w:styleId="RentekstTegn">
    <w:name w:val="Ren tekst Tegn"/>
    <w:basedOn w:val="Standardskriftforavsnitt"/>
    <w:link w:val="Rentekst"/>
    <w:uiPriority w:val="99"/>
    <w:rsid w:val="00F95C1D"/>
    <w:rPr>
      <w:rFonts w:ascii="Verdana" w:hAnsi="Verdana" w:cs="Calibri"/>
      <w:sz w:val="24"/>
      <w:szCs w:val="24"/>
    </w:rPr>
  </w:style>
  <w:style w:type="paragraph" w:styleId="Listeavsnitt">
    <w:name w:val="List Paragraph"/>
    <w:basedOn w:val="Normal"/>
    <w:uiPriority w:val="34"/>
    <w:qFormat/>
    <w:rsid w:val="00F95C1D"/>
    <w:pPr>
      <w:spacing w:after="0" w:line="240" w:lineRule="auto"/>
      <w:ind w:left="720"/>
      <w:contextualSpacing/>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91766">
      <w:bodyDiv w:val="1"/>
      <w:marLeft w:val="0"/>
      <w:marRight w:val="0"/>
      <w:marTop w:val="0"/>
      <w:marBottom w:val="0"/>
      <w:divBdr>
        <w:top w:val="none" w:sz="0" w:space="0" w:color="auto"/>
        <w:left w:val="none" w:sz="0" w:space="0" w:color="auto"/>
        <w:bottom w:val="none" w:sz="0" w:space="0" w:color="auto"/>
        <w:right w:val="none" w:sz="0" w:space="0" w:color="auto"/>
      </w:divBdr>
    </w:div>
    <w:div w:id="665325157">
      <w:bodyDiv w:val="1"/>
      <w:marLeft w:val="0"/>
      <w:marRight w:val="0"/>
      <w:marTop w:val="0"/>
      <w:marBottom w:val="0"/>
      <w:divBdr>
        <w:top w:val="none" w:sz="0" w:space="0" w:color="auto"/>
        <w:left w:val="none" w:sz="0" w:space="0" w:color="auto"/>
        <w:bottom w:val="none" w:sz="0" w:space="0" w:color="auto"/>
        <w:right w:val="none" w:sz="0" w:space="0" w:color="auto"/>
      </w:divBdr>
    </w:div>
    <w:div w:id="1059549762">
      <w:bodyDiv w:val="1"/>
      <w:marLeft w:val="0"/>
      <w:marRight w:val="0"/>
      <w:marTop w:val="0"/>
      <w:marBottom w:val="0"/>
      <w:divBdr>
        <w:top w:val="none" w:sz="0" w:space="0" w:color="auto"/>
        <w:left w:val="none" w:sz="0" w:space="0" w:color="auto"/>
        <w:bottom w:val="none" w:sz="0" w:space="0" w:color="auto"/>
        <w:right w:val="none" w:sz="0" w:space="0" w:color="auto"/>
      </w:divBdr>
    </w:div>
    <w:div w:id="19695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loeconomics.no/67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bliotek.bufdir.no/BUF/101/Veikart_Universelt_utformet_naerskole_203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5CF73-CC14-4F55-9D86-852BE58B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91F14-44F1-4A9A-9D69-D80CDFB55407}">
  <ds:schemaRefs>
    <ds:schemaRef ds:uri="http://schemas.microsoft.com/sharepoint/v3/contenttype/forms"/>
  </ds:schemaRefs>
</ds:datastoreItem>
</file>

<file path=customXml/itemProps3.xml><?xml version="1.0" encoding="utf-8"?>
<ds:datastoreItem xmlns:ds="http://schemas.openxmlformats.org/officeDocument/2006/customXml" ds:itemID="{F4EE0A1C-76E5-48F8-BA2F-E22CD22456E4}">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61477291-9FE8-44A3-BF16-0C800F07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1261</Words>
  <Characters>6685</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Therese Larsen</dc:creator>
  <cp:keywords/>
  <dc:description/>
  <cp:lastModifiedBy>Berit Therese Larsen</cp:lastModifiedBy>
  <cp:revision>82</cp:revision>
  <dcterms:created xsi:type="dcterms:W3CDTF">2020-10-12T04:16:00Z</dcterms:created>
  <dcterms:modified xsi:type="dcterms:W3CDTF">2020-10-15T08:04:00Z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