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204FC" w14:textId="43C960A9" w:rsidR="00486702" w:rsidRPr="00A055A1" w:rsidRDefault="00911D80" w:rsidP="002048E3">
      <w:pPr>
        <w:pStyle w:val="Overskrifttilrdning"/>
        <w:shd w:val="clear" w:color="auto" w:fill="002060"/>
        <w:spacing w:after="0"/>
        <w:rPr>
          <w:color w:val="auto"/>
          <w:sz w:val="24"/>
          <w:szCs w:val="24"/>
          <w14:textOutline w14:w="0" w14:cap="rnd" w14:cmpd="sng" w14:algn="ctr">
            <w14:noFill/>
            <w14:prstDash w14:val="solid"/>
            <w14:bevel/>
          </w14:textOutline>
          <w14:props3d w14:extrusionH="0" w14:contourW="0" w14:prstMaterial="none"/>
        </w:rPr>
      </w:pPr>
      <w:bookmarkStart w:id="0" w:name="_Hlk527397502"/>
      <w:bookmarkStart w:id="1" w:name="_Toc433094981"/>
      <w:bookmarkStart w:id="2" w:name="_Toc433095041"/>
      <w:bookmarkStart w:id="3" w:name="_Toc433096740"/>
      <w:r w:rsidRPr="00A055A1">
        <w:rPr>
          <w:color w:val="auto"/>
          <w:sz w:val="24"/>
          <w:szCs w:val="24"/>
          <w14:textOutline w14:w="0" w14:cap="rnd" w14:cmpd="sng" w14:algn="ctr">
            <w14:noFill/>
            <w14:prstDash w14:val="solid"/>
            <w14:bevel/>
          </w14:textOutline>
          <w14:props3d w14:extrusionH="0" w14:contourW="0" w14:prstMaterial="none"/>
        </w:rPr>
        <w:t xml:space="preserve">Merknad til </w:t>
      </w:r>
      <w:proofErr w:type="spellStart"/>
      <w:r w:rsidR="00007091" w:rsidRPr="00A055A1">
        <w:rPr>
          <w:color w:val="auto"/>
          <w:sz w:val="24"/>
          <w:szCs w:val="24"/>
          <w14:textOutline w14:w="0" w14:cap="rnd" w14:cmpd="sng" w14:algn="ctr">
            <w14:noFill/>
            <w14:prstDash w14:val="solid"/>
            <w14:bevel/>
          </w14:textOutline>
          <w14:props3d w14:extrusionH="0" w14:contourW="0" w14:prstMaterial="none"/>
        </w:rPr>
        <w:t>Prop</w:t>
      </w:r>
      <w:proofErr w:type="spellEnd"/>
      <w:r w:rsidR="00007091" w:rsidRPr="00A055A1">
        <w:rPr>
          <w:color w:val="auto"/>
          <w:sz w:val="24"/>
          <w:szCs w:val="24"/>
          <w14:textOutline w14:w="0" w14:cap="rnd" w14:cmpd="sng" w14:algn="ctr">
            <w14:noFill/>
            <w14:prstDash w14:val="solid"/>
            <w14:bevel/>
          </w14:textOutline>
          <w14:props3d w14:extrusionH="0" w14:contourW="0" w14:prstMaterial="none"/>
        </w:rPr>
        <w:t>. 1 S 202</w:t>
      </w:r>
      <w:r w:rsidR="00574117">
        <w:rPr>
          <w:color w:val="auto"/>
          <w:sz w:val="24"/>
          <w:szCs w:val="24"/>
          <w14:textOutline w14:w="0" w14:cap="rnd" w14:cmpd="sng" w14:algn="ctr">
            <w14:noFill/>
            <w14:prstDash w14:val="solid"/>
            <w14:bevel/>
          </w14:textOutline>
          <w14:props3d w14:extrusionH="0" w14:contourW="0" w14:prstMaterial="none"/>
        </w:rPr>
        <w:t>1</w:t>
      </w:r>
      <w:r w:rsidR="00007091" w:rsidRPr="00A055A1">
        <w:rPr>
          <w:color w:val="auto"/>
          <w:sz w:val="24"/>
          <w:szCs w:val="24"/>
          <w14:textOutline w14:w="0" w14:cap="rnd" w14:cmpd="sng" w14:algn="ctr">
            <w14:noFill/>
            <w14:prstDash w14:val="solid"/>
            <w14:bevel/>
          </w14:textOutline>
          <w14:props3d w14:extrusionH="0" w14:contourW="0" w14:prstMaterial="none"/>
        </w:rPr>
        <w:t>–202</w:t>
      </w:r>
      <w:r w:rsidR="00574117">
        <w:rPr>
          <w:color w:val="auto"/>
          <w:sz w:val="24"/>
          <w:szCs w:val="24"/>
          <w14:textOutline w14:w="0" w14:cap="rnd" w14:cmpd="sng" w14:algn="ctr">
            <w14:noFill/>
            <w14:prstDash w14:val="solid"/>
            <w14:bevel/>
          </w14:textOutline>
          <w14:props3d w14:extrusionH="0" w14:contourW="0" w14:prstMaterial="none"/>
        </w:rPr>
        <w:t>2</w:t>
      </w:r>
      <w:r w:rsidR="00007091" w:rsidRPr="00A055A1">
        <w:rPr>
          <w:color w:val="auto"/>
          <w:sz w:val="24"/>
          <w:szCs w:val="24"/>
          <w14:textOutline w14:w="0" w14:cap="rnd" w14:cmpd="sng" w14:algn="ctr">
            <w14:noFill/>
            <w14:prstDash w14:val="solid"/>
            <w14:bevel/>
          </w14:textOutline>
          <w14:props3d w14:extrusionH="0" w14:contourW="0" w14:prstMaterial="none"/>
        </w:rPr>
        <w:t xml:space="preserve"> </w:t>
      </w:r>
      <w:r w:rsidR="00820181">
        <w:rPr>
          <w:color w:val="auto"/>
          <w:sz w:val="24"/>
          <w:szCs w:val="24"/>
          <w14:textOutline w14:w="0" w14:cap="rnd" w14:cmpd="sng" w14:algn="ctr">
            <w14:noFill/>
            <w14:prstDash w14:val="solid"/>
            <w14:bevel/>
          </w14:textOutline>
          <w14:props3d w14:extrusionH="0" w14:contourW="0" w14:prstMaterial="none"/>
        </w:rPr>
        <w:t>K</w:t>
      </w:r>
      <w:r w:rsidR="00842BB7">
        <w:rPr>
          <w:color w:val="auto"/>
          <w:sz w:val="24"/>
          <w:szCs w:val="24"/>
          <w14:textOutline w14:w="0" w14:cap="rnd" w14:cmpd="sng" w14:algn="ctr">
            <w14:noFill/>
            <w14:prstDash w14:val="solid"/>
            <w14:bevel/>
          </w14:textOutline>
          <w14:props3d w14:extrusionH="0" w14:contourW="0" w14:prstMaterial="none"/>
        </w:rPr>
        <w:t>ommunal- og moderniseringsdepartementet</w:t>
      </w:r>
    </w:p>
    <w:p w14:paraId="19D9B1DE" w14:textId="402AB9C2" w:rsidR="00FB25D8" w:rsidRPr="00A055A1" w:rsidRDefault="00FB25D8" w:rsidP="00402104">
      <w:pPr>
        <w:pStyle w:val="Overskrifttilrdning"/>
        <w:shd w:val="clear" w:color="auto" w:fill="002060"/>
        <w:spacing w:after="120"/>
        <w:rPr>
          <w:color w:val="auto"/>
          <w:sz w:val="24"/>
          <w:szCs w:val="24"/>
          <w14:textOutline w14:w="0" w14:cap="rnd" w14:cmpd="sng" w14:algn="ctr">
            <w14:noFill/>
            <w14:prstDash w14:val="solid"/>
            <w14:bevel/>
          </w14:textOutline>
          <w14:props3d w14:extrusionH="0" w14:contourW="0" w14:prstMaterial="none"/>
        </w:rPr>
      </w:pPr>
      <w:r w:rsidRPr="00A055A1">
        <w:rPr>
          <w:color w:val="auto"/>
          <w:sz w:val="24"/>
          <w:szCs w:val="24"/>
          <w14:textOutline w14:w="0" w14:cap="rnd" w14:cmpd="sng" w14:algn="ctr">
            <w14:noFill/>
            <w14:prstDash w14:val="solid"/>
            <w14:bevel/>
          </w14:textOutline>
          <w14:props3d w14:extrusionH="0" w14:contourW="0" w14:prstMaterial="none"/>
        </w:rPr>
        <w:t>Funksjonshemmedes Fellesorganisasjon (FFO)</w:t>
      </w:r>
    </w:p>
    <w:p w14:paraId="6C3B0494" w14:textId="69DC6C4F" w:rsidR="00EF43DA" w:rsidRDefault="00305C6C" w:rsidP="00402104">
      <w:pPr>
        <w:pStyle w:val="FFOBrdtekst"/>
        <w:spacing w:after="120"/>
      </w:pPr>
      <w:r>
        <w:t>FFO sender med dette vå</w:t>
      </w:r>
      <w:r w:rsidR="00754026">
        <w:t>re</w:t>
      </w:r>
      <w:r>
        <w:t xml:space="preserve"> merknader til </w:t>
      </w:r>
      <w:r w:rsidR="00937126">
        <w:t>Kommunal- og forvaltnings</w:t>
      </w:r>
      <w:r>
        <w:t xml:space="preserve">komiteen </w:t>
      </w:r>
      <w:r w:rsidR="007328BF">
        <w:t>knyttet til deres behandling av statsbudsjettet for 202</w:t>
      </w:r>
      <w:r w:rsidR="00574117">
        <w:t>2</w:t>
      </w:r>
      <w:r w:rsidR="005B4EB0">
        <w:t xml:space="preserve"> og ove</w:t>
      </w:r>
      <w:r w:rsidR="00E0582A">
        <w:t>n</w:t>
      </w:r>
      <w:r w:rsidR="005B4EB0">
        <w:t xml:space="preserve">nevnte </w:t>
      </w:r>
      <w:r w:rsidR="004C1A06" w:rsidRPr="004C1A06">
        <w:t>proposisjon</w:t>
      </w:r>
      <w:r w:rsidR="004C1A06">
        <w:t>.</w:t>
      </w:r>
    </w:p>
    <w:p w14:paraId="40413E30" w14:textId="36AAB44F" w:rsidR="00FC1E04" w:rsidRDefault="00FC1E04" w:rsidP="00FC1E04">
      <w:pPr>
        <w:pStyle w:val="FFOBrdtekst"/>
        <w:shd w:val="clear" w:color="auto" w:fill="002060"/>
        <w:spacing w:after="0"/>
        <w:rPr>
          <w:b/>
          <w:bCs/>
        </w:rPr>
      </w:pPr>
      <w:r w:rsidRPr="00F167B7">
        <w:rPr>
          <w:b/>
          <w:bCs/>
        </w:rPr>
        <w:t>Kap</w:t>
      </w:r>
      <w:r w:rsidR="00D922FD">
        <w:rPr>
          <w:b/>
          <w:bCs/>
        </w:rPr>
        <w:t>.</w:t>
      </w:r>
      <w:r w:rsidR="00B146B6">
        <w:rPr>
          <w:b/>
          <w:bCs/>
        </w:rPr>
        <w:t xml:space="preserve"> 571 Rammetilskudd til kommunene</w:t>
      </w:r>
    </w:p>
    <w:p w14:paraId="21FB80A5" w14:textId="4E151038" w:rsidR="00FC1E04" w:rsidRPr="001A6EBF" w:rsidRDefault="00FB2F81" w:rsidP="00FC1E04">
      <w:pPr>
        <w:pStyle w:val="FFOBrdtekst"/>
        <w:shd w:val="clear" w:color="auto" w:fill="002060"/>
        <w:spacing w:after="120"/>
        <w:rPr>
          <w:b/>
        </w:rPr>
      </w:pPr>
      <w:r>
        <w:rPr>
          <w:b/>
        </w:rPr>
        <w:t>Veikart universelt utformet nærskole 2030</w:t>
      </w:r>
    </w:p>
    <w:bookmarkEnd w:id="0"/>
    <w:bookmarkEnd w:id="1"/>
    <w:bookmarkEnd w:id="2"/>
    <w:bookmarkEnd w:id="3"/>
    <w:p w14:paraId="081A111A" w14:textId="4C533EB5" w:rsidR="00F574BA" w:rsidRDefault="00F574BA" w:rsidP="00F574BA">
      <w:pPr>
        <w:rPr>
          <w:sz w:val="24"/>
          <w:szCs w:val="24"/>
        </w:rPr>
      </w:pPr>
      <w:r>
        <w:rPr>
          <w:sz w:val="24"/>
          <w:szCs w:val="24"/>
        </w:rPr>
        <w:t xml:space="preserve">Norge har sluttet seg til FNs </w:t>
      </w:r>
      <w:proofErr w:type="spellStart"/>
      <w:r>
        <w:rPr>
          <w:sz w:val="24"/>
          <w:szCs w:val="24"/>
        </w:rPr>
        <w:t>bærekraftmål</w:t>
      </w:r>
      <w:proofErr w:type="spellEnd"/>
      <w:r>
        <w:rPr>
          <w:sz w:val="24"/>
          <w:szCs w:val="24"/>
        </w:rPr>
        <w:t xml:space="preserve">, som skal «Sikre </w:t>
      </w:r>
      <w:proofErr w:type="spellStart"/>
      <w:r>
        <w:rPr>
          <w:sz w:val="24"/>
          <w:szCs w:val="24"/>
        </w:rPr>
        <w:t>inkluderande</w:t>
      </w:r>
      <w:proofErr w:type="spellEnd"/>
      <w:r>
        <w:rPr>
          <w:sz w:val="24"/>
          <w:szCs w:val="24"/>
        </w:rPr>
        <w:t xml:space="preserve">, rettferdig og god utdanning og fremme </w:t>
      </w:r>
      <w:proofErr w:type="spellStart"/>
      <w:r>
        <w:rPr>
          <w:sz w:val="24"/>
          <w:szCs w:val="24"/>
        </w:rPr>
        <w:t>moglegheiter</w:t>
      </w:r>
      <w:proofErr w:type="spellEnd"/>
      <w:r>
        <w:rPr>
          <w:sz w:val="24"/>
          <w:szCs w:val="24"/>
        </w:rPr>
        <w:t xml:space="preserve"> for livslang læring». Norge har også vedtatt FN-konvensjonen om </w:t>
      </w:r>
      <w:r w:rsidR="00FC78E0">
        <w:rPr>
          <w:sz w:val="24"/>
          <w:szCs w:val="24"/>
        </w:rPr>
        <w:t>rettighetene til mennesker med funksjonsnedsettelse</w:t>
      </w:r>
      <w:r>
        <w:rPr>
          <w:sz w:val="24"/>
          <w:szCs w:val="24"/>
        </w:rPr>
        <w:t xml:space="preserve">, der tilgang til skolebygg er en av forpliktelsene. Mange skoler er ikke tilgjengelige for </w:t>
      </w:r>
      <w:r w:rsidR="006E43FE">
        <w:rPr>
          <w:sz w:val="24"/>
          <w:szCs w:val="24"/>
        </w:rPr>
        <w:t xml:space="preserve">våre </w:t>
      </w:r>
      <w:r>
        <w:rPr>
          <w:sz w:val="24"/>
          <w:szCs w:val="24"/>
        </w:rPr>
        <w:t xml:space="preserve">elever i dag. Det er diskriminerende. </w:t>
      </w:r>
    </w:p>
    <w:p w14:paraId="6B0ECC23" w14:textId="4347743D" w:rsidR="00F574BA" w:rsidRDefault="00F574BA" w:rsidP="00F574BA">
      <w:pPr>
        <w:rPr>
          <w:sz w:val="24"/>
          <w:szCs w:val="24"/>
        </w:rPr>
      </w:pPr>
      <w:r>
        <w:rPr>
          <w:sz w:val="24"/>
          <w:szCs w:val="24"/>
        </w:rPr>
        <w:t xml:space="preserve">I 2017 lanserte </w:t>
      </w:r>
      <w:proofErr w:type="spellStart"/>
      <w:r>
        <w:rPr>
          <w:sz w:val="24"/>
          <w:szCs w:val="24"/>
        </w:rPr>
        <w:t>Bufdir</w:t>
      </w:r>
      <w:proofErr w:type="spellEnd"/>
      <w:r>
        <w:rPr>
          <w:sz w:val="24"/>
          <w:szCs w:val="24"/>
        </w:rPr>
        <w:t xml:space="preserve"> «Veikart Universelt utformet nærskole 2030»</w:t>
      </w:r>
      <w:r w:rsidR="006E43FE">
        <w:rPr>
          <w:sz w:val="24"/>
          <w:szCs w:val="24"/>
        </w:rPr>
        <w:t>, og</w:t>
      </w:r>
      <w:r>
        <w:rPr>
          <w:sz w:val="24"/>
          <w:szCs w:val="24"/>
        </w:rPr>
        <w:t xml:space="preserve"> Oslo </w:t>
      </w:r>
      <w:proofErr w:type="spellStart"/>
      <w:r>
        <w:rPr>
          <w:sz w:val="24"/>
          <w:szCs w:val="24"/>
        </w:rPr>
        <w:t>Economics</w:t>
      </w:r>
      <w:proofErr w:type="spellEnd"/>
      <w:r>
        <w:rPr>
          <w:sz w:val="24"/>
          <w:szCs w:val="24"/>
        </w:rPr>
        <w:t xml:space="preserve"> har dokumentert at det er samfunnsøkonomisk lønnsomt å følge Veikartet. Veikartet har foreløpig ikke fått politisk gjennomslag. I en kartlegging av status</w:t>
      </w:r>
      <w:r w:rsidR="006E43FE">
        <w:rPr>
          <w:rStyle w:val="Sluttnotereferanse"/>
          <w:sz w:val="24"/>
          <w:szCs w:val="24"/>
        </w:rPr>
        <w:endnoteReference w:id="2"/>
      </w:r>
      <w:r>
        <w:rPr>
          <w:sz w:val="24"/>
          <w:szCs w:val="24"/>
        </w:rPr>
        <w:t xml:space="preserve"> for universell utforming med svar fra 535 skoler sier 35 </w:t>
      </w:r>
      <w:r w:rsidR="00210B16">
        <w:rPr>
          <w:sz w:val="24"/>
          <w:szCs w:val="24"/>
        </w:rPr>
        <w:t xml:space="preserve">prosent </w:t>
      </w:r>
      <w:r>
        <w:rPr>
          <w:sz w:val="24"/>
          <w:szCs w:val="24"/>
        </w:rPr>
        <w:t xml:space="preserve">av skolene at de er universelt utformet, 55 </w:t>
      </w:r>
      <w:r w:rsidR="00210B16">
        <w:rPr>
          <w:sz w:val="24"/>
          <w:szCs w:val="24"/>
        </w:rPr>
        <w:t>prosent</w:t>
      </w:r>
      <w:r>
        <w:rPr>
          <w:sz w:val="24"/>
          <w:szCs w:val="24"/>
        </w:rPr>
        <w:t xml:space="preserve"> at de er tilgjengelig mens 8 </w:t>
      </w:r>
      <w:r w:rsidR="00210B16">
        <w:rPr>
          <w:sz w:val="24"/>
          <w:szCs w:val="24"/>
        </w:rPr>
        <w:t>prosent a</w:t>
      </w:r>
      <w:r>
        <w:rPr>
          <w:sz w:val="24"/>
          <w:szCs w:val="24"/>
        </w:rPr>
        <w:t>nser at de ikke er tilgjengelige. </w:t>
      </w:r>
    </w:p>
    <w:p w14:paraId="31BA55AC" w14:textId="76639453" w:rsidR="00F574BA" w:rsidRDefault="00F574BA" w:rsidP="00F574BA">
      <w:pPr>
        <w:rPr>
          <w:sz w:val="24"/>
          <w:szCs w:val="24"/>
        </w:rPr>
      </w:pPr>
      <w:r>
        <w:rPr>
          <w:sz w:val="24"/>
          <w:szCs w:val="24"/>
        </w:rPr>
        <w:t xml:space="preserve">Solberg-regjeringen har i sitt budsjettforslag for 2022 ikke </w:t>
      </w:r>
      <w:r w:rsidR="00210B16">
        <w:rPr>
          <w:sz w:val="24"/>
          <w:szCs w:val="24"/>
        </w:rPr>
        <w:t xml:space="preserve">avsatt </w:t>
      </w:r>
      <w:r>
        <w:rPr>
          <w:sz w:val="24"/>
          <w:szCs w:val="24"/>
        </w:rPr>
        <w:t xml:space="preserve">midler </w:t>
      </w:r>
      <w:r w:rsidR="00210B16">
        <w:rPr>
          <w:sz w:val="24"/>
          <w:szCs w:val="24"/>
        </w:rPr>
        <w:t xml:space="preserve">til </w:t>
      </w:r>
      <w:r>
        <w:rPr>
          <w:sz w:val="24"/>
          <w:szCs w:val="24"/>
        </w:rPr>
        <w:t xml:space="preserve">å finansiere Veikartet. Imidlertid har den nye regjeringen i </w:t>
      </w:r>
      <w:r w:rsidR="00210B16">
        <w:rPr>
          <w:sz w:val="24"/>
          <w:szCs w:val="24"/>
        </w:rPr>
        <w:t>Hurdalsp</w:t>
      </w:r>
      <w:r>
        <w:rPr>
          <w:sz w:val="24"/>
          <w:szCs w:val="24"/>
        </w:rPr>
        <w:t>lattform</w:t>
      </w:r>
      <w:r w:rsidR="00210B16">
        <w:rPr>
          <w:sz w:val="24"/>
          <w:szCs w:val="24"/>
        </w:rPr>
        <w:t>en</w:t>
      </w:r>
      <w:r>
        <w:rPr>
          <w:sz w:val="24"/>
          <w:szCs w:val="24"/>
        </w:rPr>
        <w:t xml:space="preserve"> gått inn for å</w:t>
      </w:r>
      <w:r w:rsidR="00402DE9">
        <w:rPr>
          <w:sz w:val="24"/>
          <w:szCs w:val="24"/>
        </w:rPr>
        <w:t>:</w:t>
      </w:r>
      <w:r>
        <w:rPr>
          <w:sz w:val="24"/>
          <w:szCs w:val="24"/>
        </w:rPr>
        <w:t xml:space="preserve"> </w:t>
      </w:r>
      <w:r>
        <w:rPr>
          <w:i/>
          <w:iCs/>
          <w:sz w:val="24"/>
          <w:szCs w:val="24"/>
        </w:rPr>
        <w:t xml:space="preserve">Gjennomføre «Veikart for universelt utformet nærskole» </w:t>
      </w:r>
      <w:proofErr w:type="spellStart"/>
      <w:r>
        <w:rPr>
          <w:i/>
          <w:iCs/>
          <w:sz w:val="24"/>
          <w:szCs w:val="24"/>
        </w:rPr>
        <w:t>innan</w:t>
      </w:r>
      <w:proofErr w:type="spellEnd"/>
      <w:r>
        <w:rPr>
          <w:i/>
          <w:iCs/>
          <w:sz w:val="24"/>
          <w:szCs w:val="24"/>
        </w:rPr>
        <w:t xml:space="preserve"> 2030, blant anna ved å gjeninnføre rentekompensasjonsordninga for </w:t>
      </w:r>
      <w:proofErr w:type="spellStart"/>
      <w:r>
        <w:rPr>
          <w:i/>
          <w:iCs/>
          <w:sz w:val="24"/>
          <w:szCs w:val="24"/>
        </w:rPr>
        <w:t>skulebygg</w:t>
      </w:r>
      <w:proofErr w:type="spellEnd"/>
      <w:r>
        <w:rPr>
          <w:i/>
          <w:iCs/>
          <w:sz w:val="24"/>
          <w:szCs w:val="24"/>
        </w:rPr>
        <w:t xml:space="preserve"> og svømmeanlegg.</w:t>
      </w:r>
      <w:r>
        <w:rPr>
          <w:sz w:val="24"/>
          <w:szCs w:val="24"/>
        </w:rPr>
        <w:t xml:space="preserve"> </w:t>
      </w:r>
    </w:p>
    <w:p w14:paraId="5475842B" w14:textId="55BECF99" w:rsidR="00F574BA" w:rsidRDefault="00F574BA" w:rsidP="00F574BA">
      <w:pPr>
        <w:rPr>
          <w:i/>
          <w:iCs/>
          <w:sz w:val="24"/>
          <w:szCs w:val="24"/>
        </w:rPr>
      </w:pPr>
      <w:r>
        <w:rPr>
          <w:i/>
          <w:iCs/>
          <w:sz w:val="24"/>
          <w:szCs w:val="24"/>
        </w:rPr>
        <w:t>FFO ber komiteen om å</w:t>
      </w:r>
      <w:r w:rsidR="00402DE9">
        <w:rPr>
          <w:i/>
          <w:iCs/>
          <w:sz w:val="24"/>
          <w:szCs w:val="24"/>
        </w:rPr>
        <w:t xml:space="preserve"> r</w:t>
      </w:r>
      <w:r>
        <w:rPr>
          <w:i/>
          <w:iCs/>
          <w:sz w:val="24"/>
          <w:szCs w:val="24"/>
        </w:rPr>
        <w:t xml:space="preserve">ealisere Veikartet ved å sette </w:t>
      </w:r>
      <w:r w:rsidRPr="00F9254E">
        <w:rPr>
          <w:i/>
          <w:iCs/>
          <w:sz w:val="24"/>
          <w:szCs w:val="24"/>
        </w:rPr>
        <w:t>av 200 mill. kroner i friske midler</w:t>
      </w:r>
      <w:r>
        <w:rPr>
          <w:i/>
          <w:iCs/>
          <w:sz w:val="24"/>
          <w:szCs w:val="24"/>
        </w:rPr>
        <w:t xml:space="preserve"> for å stimulere kommunene, øremerket universell utforming av eksisterende skoler, samt be regjeringen komme med en forskrift med tidsfrist 2030 for oppgradering av skolebygg.</w:t>
      </w:r>
    </w:p>
    <w:p w14:paraId="355245E4" w14:textId="6291708B" w:rsidR="00FC1E04" w:rsidRPr="001A6EBF" w:rsidRDefault="00FC1E04" w:rsidP="0003053E">
      <w:pPr>
        <w:pStyle w:val="FFOBrdtekst"/>
        <w:shd w:val="clear" w:color="auto" w:fill="002060"/>
        <w:spacing w:after="120"/>
        <w:rPr>
          <w:b/>
        </w:rPr>
      </w:pPr>
      <w:r w:rsidRPr="00F167B7">
        <w:rPr>
          <w:b/>
          <w:bCs/>
        </w:rPr>
        <w:t xml:space="preserve">Kap. </w:t>
      </w:r>
      <w:r w:rsidR="00FB2F81">
        <w:rPr>
          <w:b/>
          <w:bCs/>
        </w:rPr>
        <w:t>575 Ressurskrevende tjenester</w:t>
      </w:r>
      <w:r w:rsidR="00442BE1">
        <w:rPr>
          <w:b/>
          <w:bCs/>
        </w:rPr>
        <w:t>, post 60 Toppfinansieringsordning</w:t>
      </w:r>
    </w:p>
    <w:p w14:paraId="293A2F44" w14:textId="6CD87FB1" w:rsidR="006273AE" w:rsidRPr="00052064" w:rsidRDefault="006273AE" w:rsidP="0003053E">
      <w:pPr>
        <w:spacing w:after="120"/>
        <w:rPr>
          <w:rFonts w:eastAsia="ArialMT"/>
          <w:iCs/>
          <w:sz w:val="24"/>
          <w:szCs w:val="24"/>
        </w:rPr>
      </w:pPr>
      <w:r w:rsidRPr="00052064">
        <w:rPr>
          <w:rFonts w:eastAsia="ArialMT"/>
          <w:iCs/>
          <w:sz w:val="24"/>
          <w:szCs w:val="24"/>
        </w:rPr>
        <w:t>Regjeringen foreslår nok en gang å øke innslagspunktet for ressurskrevende tjenester</w:t>
      </w:r>
      <w:r w:rsidR="00B67FD9">
        <w:rPr>
          <w:rFonts w:eastAsia="ArialMT"/>
          <w:iCs/>
          <w:sz w:val="24"/>
          <w:szCs w:val="24"/>
        </w:rPr>
        <w:t xml:space="preserve">, </w:t>
      </w:r>
      <w:r w:rsidRPr="00052064">
        <w:rPr>
          <w:rFonts w:eastAsia="ArialMT"/>
          <w:iCs/>
          <w:sz w:val="24"/>
          <w:szCs w:val="24"/>
        </w:rPr>
        <w:t xml:space="preserve">fra 1 450 000 kroner </w:t>
      </w:r>
      <w:r w:rsidR="00B67FD9">
        <w:rPr>
          <w:rFonts w:eastAsia="ArialMT"/>
          <w:iCs/>
          <w:sz w:val="24"/>
          <w:szCs w:val="24"/>
        </w:rPr>
        <w:t>(</w:t>
      </w:r>
      <w:r w:rsidR="0003053E">
        <w:rPr>
          <w:rFonts w:eastAsia="ArialMT"/>
          <w:iCs/>
          <w:sz w:val="24"/>
          <w:szCs w:val="24"/>
        </w:rPr>
        <w:t xml:space="preserve">slik det er i </w:t>
      </w:r>
      <w:r w:rsidR="00B67FD9">
        <w:rPr>
          <w:rFonts w:eastAsia="ArialMT"/>
          <w:iCs/>
          <w:sz w:val="24"/>
          <w:szCs w:val="24"/>
        </w:rPr>
        <w:t xml:space="preserve">2021) </w:t>
      </w:r>
      <w:r w:rsidRPr="00052064">
        <w:rPr>
          <w:rFonts w:eastAsia="ArialMT"/>
          <w:iCs/>
          <w:sz w:val="24"/>
          <w:szCs w:val="24"/>
        </w:rPr>
        <w:t>til 1 540</w:t>
      </w:r>
      <w:r w:rsidR="00B67FD9">
        <w:rPr>
          <w:rFonts w:eastAsia="ArialMT"/>
          <w:iCs/>
          <w:sz w:val="24"/>
          <w:szCs w:val="24"/>
        </w:rPr>
        <w:t> </w:t>
      </w:r>
      <w:r w:rsidRPr="00052064">
        <w:rPr>
          <w:rFonts w:eastAsia="ArialMT"/>
          <w:iCs/>
          <w:sz w:val="24"/>
          <w:szCs w:val="24"/>
        </w:rPr>
        <w:t>000</w:t>
      </w:r>
      <w:r w:rsidR="00B67FD9">
        <w:rPr>
          <w:rFonts w:eastAsia="ArialMT"/>
          <w:iCs/>
          <w:sz w:val="24"/>
          <w:szCs w:val="24"/>
        </w:rPr>
        <w:t xml:space="preserve"> </w:t>
      </w:r>
      <w:r w:rsidR="00E257FE">
        <w:rPr>
          <w:rFonts w:eastAsia="ArialMT"/>
          <w:iCs/>
          <w:sz w:val="24"/>
          <w:szCs w:val="24"/>
        </w:rPr>
        <w:t xml:space="preserve">i </w:t>
      </w:r>
      <w:r w:rsidR="00B67FD9">
        <w:rPr>
          <w:rFonts w:eastAsia="ArialMT"/>
          <w:iCs/>
          <w:sz w:val="24"/>
          <w:szCs w:val="24"/>
        </w:rPr>
        <w:t>2022</w:t>
      </w:r>
      <w:r w:rsidRPr="00052064">
        <w:rPr>
          <w:rFonts w:eastAsia="ArialMT"/>
          <w:iCs/>
          <w:sz w:val="24"/>
          <w:szCs w:val="24"/>
        </w:rPr>
        <w:t xml:space="preserve">. Innslagspunktet har økt hvert år siden Solbergregjeringen trådte inn i 2013. Da var innslagspunktet på 935 000 kroner. </w:t>
      </w:r>
    </w:p>
    <w:p w14:paraId="38341F31" w14:textId="5B450DF3" w:rsidR="006273AE" w:rsidRPr="00052064" w:rsidRDefault="006273AE" w:rsidP="006273AE">
      <w:pPr>
        <w:spacing w:after="120"/>
        <w:rPr>
          <w:rFonts w:eastAsia="ArialMT"/>
          <w:iCs/>
          <w:sz w:val="24"/>
          <w:szCs w:val="24"/>
        </w:rPr>
      </w:pPr>
      <w:r w:rsidRPr="00052064">
        <w:rPr>
          <w:rFonts w:eastAsia="ArialMT"/>
          <w:iCs/>
          <w:sz w:val="24"/>
          <w:szCs w:val="24"/>
        </w:rPr>
        <w:t>Kommunene betaler allerede størstedelen av kostnaden ved ressurskrevende tjenester. De opplever stadig økt ansvar og stort press rundt helse- og omsorgstjenester, og nå har de fått pandemien på toppen av dette. FFO er bekymret for at et stadig økende innslagspunkt i ordningen vil føre til færre og dårligere tjenester, og økt uforutsigbarhet i livene til mennesker med alvorlige funksjonsnedsettelser. FFO er glad for at ny regjering ønsker å</w:t>
      </w:r>
      <w:r w:rsidR="00DA131B">
        <w:rPr>
          <w:rFonts w:eastAsia="ArialMT"/>
          <w:iCs/>
          <w:sz w:val="24"/>
          <w:szCs w:val="24"/>
        </w:rPr>
        <w:t>:</w:t>
      </w:r>
      <w:r w:rsidRPr="00052064">
        <w:rPr>
          <w:rFonts w:eastAsia="ArialMT"/>
          <w:iCs/>
          <w:sz w:val="24"/>
          <w:szCs w:val="24"/>
        </w:rPr>
        <w:t xml:space="preserve"> </w:t>
      </w:r>
      <w:r w:rsidR="00DA131B" w:rsidRPr="00DA131B">
        <w:rPr>
          <w:rFonts w:eastAsia="ArialMT"/>
          <w:i/>
          <w:sz w:val="24"/>
          <w:szCs w:val="24"/>
        </w:rPr>
        <w:t>G</w:t>
      </w:r>
      <w:r w:rsidRPr="00DA131B">
        <w:rPr>
          <w:rFonts w:eastAsia="ArialMT"/>
          <w:i/>
          <w:sz w:val="24"/>
          <w:szCs w:val="24"/>
        </w:rPr>
        <w:t>jennomgå og forbedre Toppfinansieringsordningen for ressurskrevende tjenester for å sikre en bærekraftig utvikling av ordningen.</w:t>
      </w:r>
      <w:r w:rsidRPr="00052064">
        <w:rPr>
          <w:rFonts w:eastAsia="ArialMT"/>
          <w:iCs/>
          <w:sz w:val="24"/>
          <w:szCs w:val="24"/>
        </w:rPr>
        <w:t xml:space="preserve"> </w:t>
      </w:r>
    </w:p>
    <w:p w14:paraId="429D6C53" w14:textId="44BE10BF" w:rsidR="006273AE" w:rsidRDefault="006273AE" w:rsidP="006273AE">
      <w:pPr>
        <w:spacing w:after="120"/>
        <w:rPr>
          <w:rFonts w:eastAsia="ArialMT"/>
          <w:i/>
          <w:sz w:val="24"/>
          <w:szCs w:val="24"/>
        </w:rPr>
      </w:pPr>
      <w:r w:rsidRPr="00052064">
        <w:rPr>
          <w:rFonts w:eastAsia="ArialMT"/>
          <w:i/>
          <w:sz w:val="24"/>
          <w:szCs w:val="24"/>
        </w:rPr>
        <w:t xml:space="preserve">Inntil dette arbeidet igangsettes ber vi komiteen om å fryse innslagspunktet på 1 450 000 </w:t>
      </w:r>
      <w:r>
        <w:rPr>
          <w:rFonts w:eastAsia="ArialMT"/>
          <w:i/>
          <w:sz w:val="24"/>
          <w:szCs w:val="24"/>
        </w:rPr>
        <w:t xml:space="preserve">kroner </w:t>
      </w:r>
      <w:r w:rsidRPr="00052064">
        <w:rPr>
          <w:rFonts w:eastAsia="ArialMT"/>
          <w:i/>
          <w:sz w:val="24"/>
          <w:szCs w:val="24"/>
        </w:rPr>
        <w:t xml:space="preserve">for budsjettåret 2022. </w:t>
      </w:r>
    </w:p>
    <w:p w14:paraId="1C591699" w14:textId="4C7797EE" w:rsidR="00FC1E04" w:rsidRDefault="00FC1E04" w:rsidP="0003053E">
      <w:pPr>
        <w:pStyle w:val="FFOBrdtekst"/>
        <w:shd w:val="clear" w:color="auto" w:fill="002060"/>
        <w:spacing w:after="120"/>
        <w:rPr>
          <w:rFonts w:cs="Arial"/>
          <w:b/>
          <w:bCs/>
          <w:szCs w:val="24"/>
        </w:rPr>
      </w:pPr>
      <w:r w:rsidRPr="00F167B7">
        <w:rPr>
          <w:b/>
          <w:bCs/>
        </w:rPr>
        <w:t>Kap.</w:t>
      </w:r>
      <w:r w:rsidR="00D922FD">
        <w:rPr>
          <w:b/>
          <w:bCs/>
        </w:rPr>
        <w:t xml:space="preserve"> 540 Digitaliseringsdirektoratet</w:t>
      </w:r>
    </w:p>
    <w:p w14:paraId="28526058" w14:textId="3FE64099" w:rsidR="00F0386F" w:rsidRPr="00F0386F" w:rsidRDefault="00F0386F" w:rsidP="0003053E">
      <w:pPr>
        <w:spacing w:after="120"/>
        <w:rPr>
          <w:sz w:val="24"/>
          <w:szCs w:val="24"/>
        </w:rPr>
      </w:pPr>
      <w:r w:rsidRPr="00F0386F">
        <w:rPr>
          <w:rFonts w:cs="Arial"/>
          <w:sz w:val="24"/>
          <w:szCs w:val="24"/>
        </w:rPr>
        <w:t xml:space="preserve">Fra 2021 </w:t>
      </w:r>
      <w:r w:rsidR="00E673B0">
        <w:rPr>
          <w:rFonts w:cs="Arial"/>
          <w:sz w:val="24"/>
          <w:szCs w:val="24"/>
        </w:rPr>
        <w:t>gjelder</w:t>
      </w:r>
      <w:r w:rsidRPr="00F0386F">
        <w:rPr>
          <w:rFonts w:cs="Arial"/>
          <w:sz w:val="24"/>
          <w:szCs w:val="24"/>
        </w:rPr>
        <w:t xml:space="preserve"> krav til universell utforming av IKT for alle digitale løsninger for allmenheten, det vi si </w:t>
      </w:r>
      <w:r w:rsidR="00E257FE">
        <w:rPr>
          <w:rFonts w:cs="Arial"/>
          <w:sz w:val="24"/>
          <w:szCs w:val="24"/>
        </w:rPr>
        <w:t xml:space="preserve">for </w:t>
      </w:r>
      <w:r w:rsidRPr="00F0386F">
        <w:rPr>
          <w:rFonts w:cs="Arial"/>
          <w:sz w:val="24"/>
          <w:szCs w:val="24"/>
        </w:rPr>
        <w:t xml:space="preserve">alle eksisterende løsninger og ikke kun </w:t>
      </w:r>
      <w:r w:rsidR="00E257FE">
        <w:rPr>
          <w:rFonts w:cs="Arial"/>
          <w:sz w:val="24"/>
          <w:szCs w:val="24"/>
        </w:rPr>
        <w:t xml:space="preserve">for </w:t>
      </w:r>
      <w:r w:rsidRPr="00F0386F">
        <w:rPr>
          <w:rFonts w:cs="Arial"/>
          <w:sz w:val="24"/>
          <w:szCs w:val="24"/>
        </w:rPr>
        <w:t xml:space="preserve">nye. Det digitale Norge </w:t>
      </w:r>
      <w:r w:rsidRPr="00F0386F">
        <w:rPr>
          <w:rFonts w:cs="Arial"/>
          <w:sz w:val="24"/>
          <w:szCs w:val="24"/>
        </w:rPr>
        <w:lastRenderedPageBreak/>
        <w:t>bygges nå</w:t>
      </w:r>
      <w:r w:rsidR="00E257FE">
        <w:rPr>
          <w:rFonts w:cs="Arial"/>
          <w:sz w:val="24"/>
          <w:szCs w:val="24"/>
        </w:rPr>
        <w:t xml:space="preserve">, </w:t>
      </w:r>
      <w:r w:rsidR="00483B32">
        <w:rPr>
          <w:rFonts w:cs="Arial"/>
          <w:sz w:val="24"/>
          <w:szCs w:val="24"/>
        </w:rPr>
        <w:t xml:space="preserve">det har fått fart under pandemien </w:t>
      </w:r>
      <w:r w:rsidR="00E257FE">
        <w:rPr>
          <w:rFonts w:cs="Arial"/>
          <w:sz w:val="24"/>
          <w:szCs w:val="24"/>
        </w:rPr>
        <w:t xml:space="preserve">og </w:t>
      </w:r>
      <w:r w:rsidRPr="00F0386F">
        <w:rPr>
          <w:rFonts w:cs="Arial"/>
          <w:sz w:val="24"/>
          <w:szCs w:val="24"/>
        </w:rPr>
        <w:t>vi må unngå digitale barrierer som blir kostbare og tidskrevende å reparere i fremtiden. Universell utforming av IKT-løsninger er bra for alle</w:t>
      </w:r>
      <w:r w:rsidR="002C5A67">
        <w:rPr>
          <w:rFonts w:cs="Arial"/>
          <w:sz w:val="24"/>
          <w:szCs w:val="24"/>
        </w:rPr>
        <w:t xml:space="preserve">, </w:t>
      </w:r>
      <w:r w:rsidRPr="00F0386F">
        <w:rPr>
          <w:rFonts w:cs="Arial"/>
          <w:sz w:val="24"/>
          <w:szCs w:val="24"/>
        </w:rPr>
        <w:t xml:space="preserve">og </w:t>
      </w:r>
      <w:r w:rsidR="002C5A67">
        <w:rPr>
          <w:rFonts w:cs="Arial"/>
          <w:sz w:val="24"/>
          <w:szCs w:val="24"/>
        </w:rPr>
        <w:t xml:space="preserve">er </w:t>
      </w:r>
      <w:r w:rsidRPr="00F0386F">
        <w:rPr>
          <w:rFonts w:cs="Arial"/>
          <w:sz w:val="24"/>
          <w:szCs w:val="24"/>
        </w:rPr>
        <w:t>en hovednøkkel for inkludering av synshemmede</w:t>
      </w:r>
      <w:r w:rsidR="00CB376E">
        <w:rPr>
          <w:rFonts w:cs="Arial"/>
          <w:sz w:val="24"/>
          <w:szCs w:val="24"/>
        </w:rPr>
        <w:t>.</w:t>
      </w:r>
    </w:p>
    <w:p w14:paraId="4E33DA31" w14:textId="77777777" w:rsidR="001C6769" w:rsidRDefault="00CB376E" w:rsidP="00F0386F">
      <w:pPr>
        <w:rPr>
          <w:rFonts w:cs="Arial"/>
          <w:sz w:val="24"/>
          <w:szCs w:val="24"/>
        </w:rPr>
      </w:pPr>
      <w:r>
        <w:rPr>
          <w:rFonts w:cs="Arial"/>
          <w:sz w:val="24"/>
          <w:szCs w:val="24"/>
        </w:rPr>
        <w:t xml:space="preserve">Vi er glade for </w:t>
      </w:r>
      <w:r w:rsidR="009955FF">
        <w:rPr>
          <w:rFonts w:cs="Arial"/>
          <w:sz w:val="24"/>
          <w:szCs w:val="24"/>
        </w:rPr>
        <w:t>at T</w:t>
      </w:r>
      <w:r w:rsidR="00F0386F" w:rsidRPr="00F0386F">
        <w:rPr>
          <w:rFonts w:cs="Arial"/>
          <w:sz w:val="24"/>
          <w:szCs w:val="24"/>
        </w:rPr>
        <w:t>ilsyn</w:t>
      </w:r>
      <w:r w:rsidR="006B53CF">
        <w:rPr>
          <w:rFonts w:cs="Arial"/>
          <w:sz w:val="24"/>
          <w:szCs w:val="24"/>
        </w:rPr>
        <w:t>et</w:t>
      </w:r>
      <w:r w:rsidR="00F0386F" w:rsidRPr="00F0386F">
        <w:rPr>
          <w:rFonts w:cs="Arial"/>
          <w:sz w:val="24"/>
          <w:szCs w:val="24"/>
        </w:rPr>
        <w:t xml:space="preserve"> for universell utforming av IKT</w:t>
      </w:r>
      <w:r w:rsidR="00EA4FAE">
        <w:rPr>
          <w:rFonts w:cs="Arial"/>
          <w:sz w:val="24"/>
          <w:szCs w:val="24"/>
        </w:rPr>
        <w:t xml:space="preserve"> </w:t>
      </w:r>
      <w:r w:rsidR="006B53CF">
        <w:rPr>
          <w:rFonts w:cs="Arial"/>
          <w:sz w:val="24"/>
          <w:szCs w:val="24"/>
        </w:rPr>
        <w:t>har fått en egen post i statsbudsjettet</w:t>
      </w:r>
      <w:r w:rsidR="00EA4FAE">
        <w:rPr>
          <w:rFonts w:cs="Arial"/>
          <w:sz w:val="24"/>
          <w:szCs w:val="24"/>
        </w:rPr>
        <w:t xml:space="preserve"> </w:t>
      </w:r>
      <w:r w:rsidR="00154808">
        <w:rPr>
          <w:rFonts w:cs="Arial"/>
          <w:sz w:val="24"/>
          <w:szCs w:val="24"/>
        </w:rPr>
        <w:t xml:space="preserve">på 26 mill. kroner </w:t>
      </w:r>
      <w:r w:rsidR="00EA4FAE">
        <w:rPr>
          <w:rFonts w:cs="Arial"/>
          <w:sz w:val="24"/>
          <w:szCs w:val="24"/>
        </w:rPr>
        <w:t xml:space="preserve">for å tydeliggjøre tilsynets autonome rolle. </w:t>
      </w:r>
      <w:r w:rsidR="00F0386F" w:rsidRPr="00F0386F">
        <w:rPr>
          <w:rFonts w:cs="Arial"/>
          <w:sz w:val="24"/>
          <w:szCs w:val="24"/>
        </w:rPr>
        <w:t xml:space="preserve"> </w:t>
      </w:r>
      <w:r w:rsidR="00154808">
        <w:rPr>
          <w:rFonts w:cs="Arial"/>
          <w:sz w:val="24"/>
          <w:szCs w:val="24"/>
        </w:rPr>
        <w:t>Vi kan imidlertid ikke se at tilsynet har fått en økt</w:t>
      </w:r>
      <w:r w:rsidR="00753822">
        <w:rPr>
          <w:rFonts w:cs="Arial"/>
          <w:sz w:val="24"/>
          <w:szCs w:val="24"/>
        </w:rPr>
        <w:t>e</w:t>
      </w:r>
      <w:r w:rsidR="00154808">
        <w:rPr>
          <w:rFonts w:cs="Arial"/>
          <w:sz w:val="24"/>
          <w:szCs w:val="24"/>
        </w:rPr>
        <w:t xml:space="preserve"> ramme</w:t>
      </w:r>
      <w:r w:rsidR="00753822">
        <w:rPr>
          <w:rFonts w:cs="Arial"/>
          <w:sz w:val="24"/>
          <w:szCs w:val="24"/>
        </w:rPr>
        <w:t>r</w:t>
      </w:r>
      <w:r w:rsidR="00154808">
        <w:rPr>
          <w:rFonts w:cs="Arial"/>
          <w:sz w:val="24"/>
          <w:szCs w:val="24"/>
        </w:rPr>
        <w:t xml:space="preserve"> for </w:t>
      </w:r>
      <w:r w:rsidR="00753822">
        <w:rPr>
          <w:rFonts w:cs="Arial"/>
          <w:sz w:val="24"/>
          <w:szCs w:val="24"/>
        </w:rPr>
        <w:t xml:space="preserve">blant annet </w:t>
      </w:r>
      <w:r w:rsidR="00154808">
        <w:rPr>
          <w:rFonts w:cs="Arial"/>
          <w:sz w:val="24"/>
          <w:szCs w:val="24"/>
        </w:rPr>
        <w:t xml:space="preserve">å </w:t>
      </w:r>
      <w:r w:rsidR="000C5325">
        <w:rPr>
          <w:rFonts w:cs="Arial"/>
          <w:sz w:val="24"/>
          <w:szCs w:val="24"/>
        </w:rPr>
        <w:t xml:space="preserve">følge opp </w:t>
      </w:r>
      <w:r w:rsidR="00007312">
        <w:rPr>
          <w:rFonts w:cs="Arial"/>
          <w:sz w:val="24"/>
          <w:szCs w:val="24"/>
        </w:rPr>
        <w:t xml:space="preserve">EUs Web </w:t>
      </w:r>
      <w:r w:rsidR="00875032">
        <w:rPr>
          <w:rFonts w:cs="Arial"/>
          <w:sz w:val="24"/>
          <w:szCs w:val="24"/>
        </w:rPr>
        <w:t>A</w:t>
      </w:r>
      <w:r w:rsidR="00007312">
        <w:rPr>
          <w:rFonts w:cs="Arial"/>
          <w:sz w:val="24"/>
          <w:szCs w:val="24"/>
        </w:rPr>
        <w:t xml:space="preserve">ccessibility </w:t>
      </w:r>
      <w:r w:rsidR="00875032">
        <w:rPr>
          <w:rFonts w:cs="Arial"/>
          <w:sz w:val="24"/>
          <w:szCs w:val="24"/>
        </w:rPr>
        <w:t>D</w:t>
      </w:r>
      <w:r w:rsidR="00007312">
        <w:rPr>
          <w:rFonts w:cs="Arial"/>
          <w:sz w:val="24"/>
          <w:szCs w:val="24"/>
        </w:rPr>
        <w:t xml:space="preserve">irective, hvor det er estimert med et behov for 10 flere ansatte. </w:t>
      </w:r>
      <w:r w:rsidR="00842A2C">
        <w:rPr>
          <w:rFonts w:cs="Arial"/>
          <w:sz w:val="24"/>
          <w:szCs w:val="24"/>
        </w:rPr>
        <w:t xml:space="preserve">Dessuten har de ikke fått 3 mill. kroner </w:t>
      </w:r>
      <w:r w:rsidR="005D5325">
        <w:rPr>
          <w:rFonts w:cs="Arial"/>
          <w:sz w:val="24"/>
          <w:szCs w:val="24"/>
        </w:rPr>
        <w:t xml:space="preserve">til utarbeidelse av en veileder </w:t>
      </w:r>
      <w:r w:rsidR="00A75675">
        <w:rPr>
          <w:rFonts w:cs="Arial"/>
          <w:sz w:val="24"/>
          <w:szCs w:val="24"/>
        </w:rPr>
        <w:t>på synstolking, tiltenkt kommunene.</w:t>
      </w:r>
      <w:r w:rsidR="00E02788">
        <w:rPr>
          <w:rFonts w:cs="Arial"/>
          <w:sz w:val="24"/>
          <w:szCs w:val="24"/>
        </w:rPr>
        <w:t xml:space="preserve"> </w:t>
      </w:r>
    </w:p>
    <w:p w14:paraId="7B46E994" w14:textId="6D95B67F" w:rsidR="00F0386F" w:rsidRPr="00F0386F" w:rsidRDefault="001C6769" w:rsidP="00F0386F">
      <w:pPr>
        <w:rPr>
          <w:sz w:val="24"/>
          <w:szCs w:val="24"/>
        </w:rPr>
      </w:pPr>
      <w:r>
        <w:rPr>
          <w:rFonts w:cs="Arial"/>
          <w:sz w:val="24"/>
          <w:szCs w:val="24"/>
        </w:rPr>
        <w:t xml:space="preserve">Det er i dag </w:t>
      </w:r>
      <w:r w:rsidR="00F0386F" w:rsidRPr="00F0386F">
        <w:rPr>
          <w:rFonts w:cs="Arial"/>
          <w:sz w:val="24"/>
          <w:szCs w:val="24"/>
        </w:rPr>
        <w:t>14 ansatte</w:t>
      </w:r>
      <w:r>
        <w:rPr>
          <w:rFonts w:cs="Arial"/>
          <w:sz w:val="24"/>
          <w:szCs w:val="24"/>
        </w:rPr>
        <w:t xml:space="preserve"> i tilsynet</w:t>
      </w:r>
      <w:r w:rsidR="00CD56E3">
        <w:rPr>
          <w:rFonts w:cs="Arial"/>
          <w:sz w:val="24"/>
          <w:szCs w:val="24"/>
        </w:rPr>
        <w:t>. Det e</w:t>
      </w:r>
      <w:r w:rsidR="00F0386F" w:rsidRPr="00F0386F">
        <w:rPr>
          <w:rFonts w:cs="Arial"/>
          <w:sz w:val="24"/>
          <w:szCs w:val="24"/>
        </w:rPr>
        <w:t xml:space="preserve">r svært få sammenlignet med </w:t>
      </w:r>
      <w:r w:rsidR="00E02788">
        <w:rPr>
          <w:rFonts w:cs="Arial"/>
          <w:sz w:val="24"/>
          <w:szCs w:val="24"/>
        </w:rPr>
        <w:t xml:space="preserve">eksempelvis </w:t>
      </w:r>
      <w:r w:rsidR="00F0386F" w:rsidRPr="00F0386F">
        <w:rPr>
          <w:rFonts w:cs="Arial"/>
          <w:sz w:val="24"/>
          <w:szCs w:val="24"/>
        </w:rPr>
        <w:t xml:space="preserve">Datatilsynets 45 ansatte (kap. 545). </w:t>
      </w:r>
      <w:r w:rsidR="009629EB">
        <w:rPr>
          <w:rFonts w:cs="Arial"/>
          <w:sz w:val="24"/>
          <w:szCs w:val="24"/>
        </w:rPr>
        <w:t>FFO mener det</w:t>
      </w:r>
      <w:r w:rsidR="00F0386F" w:rsidRPr="00F0386F">
        <w:rPr>
          <w:rFonts w:cs="Arial"/>
          <w:sz w:val="24"/>
          <w:szCs w:val="24"/>
        </w:rPr>
        <w:t xml:space="preserve"> er viktig at tilsynet for universell utforming av IKT styrkes</w:t>
      </w:r>
      <w:r w:rsidR="00CD56E3">
        <w:rPr>
          <w:rFonts w:cs="Arial"/>
          <w:sz w:val="24"/>
          <w:szCs w:val="24"/>
        </w:rPr>
        <w:t>,</w:t>
      </w:r>
      <w:r w:rsidR="00F0386F" w:rsidRPr="00F0386F">
        <w:rPr>
          <w:rFonts w:cs="Arial"/>
          <w:sz w:val="24"/>
          <w:szCs w:val="24"/>
        </w:rPr>
        <w:t xml:space="preserve"> slik at de</w:t>
      </w:r>
      <w:r w:rsidR="00CD56E3">
        <w:rPr>
          <w:rFonts w:cs="Arial"/>
          <w:sz w:val="24"/>
          <w:szCs w:val="24"/>
        </w:rPr>
        <w:t>t</w:t>
      </w:r>
      <w:r w:rsidR="00F0386F" w:rsidRPr="00F0386F">
        <w:rPr>
          <w:rFonts w:cs="Arial"/>
          <w:sz w:val="24"/>
          <w:szCs w:val="24"/>
        </w:rPr>
        <w:t xml:space="preserve"> </w:t>
      </w:r>
      <w:r w:rsidR="00B62573">
        <w:rPr>
          <w:rFonts w:cs="Arial"/>
          <w:sz w:val="24"/>
          <w:szCs w:val="24"/>
        </w:rPr>
        <w:t>kan følge opp økt oppgavemengde og</w:t>
      </w:r>
      <w:r w:rsidR="00F0386F" w:rsidRPr="00F0386F">
        <w:rPr>
          <w:rFonts w:cs="Arial"/>
          <w:sz w:val="24"/>
          <w:szCs w:val="24"/>
        </w:rPr>
        <w:t xml:space="preserve"> påse bedre etterlevelse av dagens </w:t>
      </w:r>
      <w:r w:rsidR="00C92C71">
        <w:rPr>
          <w:rFonts w:cs="Arial"/>
          <w:sz w:val="24"/>
          <w:szCs w:val="24"/>
        </w:rPr>
        <w:t xml:space="preserve">regelverk for </w:t>
      </w:r>
      <w:r w:rsidR="00F0386F" w:rsidRPr="00F0386F">
        <w:rPr>
          <w:rFonts w:cs="Arial"/>
          <w:sz w:val="24"/>
          <w:szCs w:val="24"/>
        </w:rPr>
        <w:t xml:space="preserve">universell utforming. Tilsynets statusrapport for 2018 viste at kun 60 prosent av målingene var i samsvar med lovpålagte krav. </w:t>
      </w:r>
    </w:p>
    <w:p w14:paraId="6A7BDC42" w14:textId="0BEF11DC" w:rsidR="00F0386F" w:rsidRPr="00F0386F" w:rsidRDefault="00F0386F" w:rsidP="00F0386F">
      <w:pPr>
        <w:spacing w:after="120" w:line="240" w:lineRule="auto"/>
        <w:rPr>
          <w:rFonts w:cs="Arial"/>
          <w:sz w:val="24"/>
          <w:szCs w:val="24"/>
        </w:rPr>
      </w:pPr>
      <w:r w:rsidRPr="00F0386F">
        <w:rPr>
          <w:rFonts w:cs="Calibri"/>
          <w:sz w:val="24"/>
          <w:szCs w:val="24"/>
        </w:rPr>
        <w:t xml:space="preserve">CRPD-komiteen har i sine merknader til </w:t>
      </w:r>
      <w:r w:rsidR="00C92C71">
        <w:rPr>
          <w:rFonts w:cs="Calibri"/>
          <w:sz w:val="24"/>
          <w:szCs w:val="24"/>
        </w:rPr>
        <w:t>r</w:t>
      </w:r>
      <w:r w:rsidRPr="00F0386F">
        <w:rPr>
          <w:rFonts w:cs="Calibri"/>
          <w:sz w:val="24"/>
          <w:szCs w:val="24"/>
        </w:rPr>
        <w:t xml:space="preserve">egjeringen (mai 2019) </w:t>
      </w:r>
      <w:r w:rsidRPr="00F0386F">
        <w:rPr>
          <w:rFonts w:cs="Arial"/>
          <w:sz w:val="24"/>
          <w:szCs w:val="24"/>
        </w:rPr>
        <w:t>anbefalt norske myndigheter å bruke sanksjonsmuligheter for bedre etterlevelse av artikkel 9 i FNs konvensjon for rettigheter til personer med nedsatt funksjonsevne</w:t>
      </w:r>
      <w:r w:rsidR="00C91976">
        <w:rPr>
          <w:rFonts w:cs="Arial"/>
          <w:sz w:val="24"/>
          <w:szCs w:val="24"/>
        </w:rPr>
        <w:t xml:space="preserve"> (om tilgjengelighet, blant annet til IKT)</w:t>
      </w:r>
      <w:r w:rsidRPr="00F0386F">
        <w:rPr>
          <w:rFonts w:cs="Arial"/>
          <w:sz w:val="24"/>
          <w:szCs w:val="24"/>
        </w:rPr>
        <w:t xml:space="preserve">. Digitaliseringsdirektoratet har allerede i dag anledning til å gi bøter til virksomheter som ikke oppfyller krav til universell utforming av IKT-løsninger rettet mot allmennheten. Erfaring med </w:t>
      </w:r>
      <w:r w:rsidR="00436368">
        <w:rPr>
          <w:rFonts w:cs="Arial"/>
          <w:sz w:val="24"/>
          <w:szCs w:val="24"/>
        </w:rPr>
        <w:t xml:space="preserve">tidligere </w:t>
      </w:r>
      <w:r w:rsidRPr="00F0386F">
        <w:rPr>
          <w:rFonts w:cs="Arial"/>
          <w:sz w:val="24"/>
          <w:szCs w:val="24"/>
        </w:rPr>
        <w:t>tilsyn</w:t>
      </w:r>
      <w:r w:rsidR="00774625">
        <w:rPr>
          <w:rFonts w:cs="Arial"/>
          <w:sz w:val="24"/>
          <w:szCs w:val="24"/>
        </w:rPr>
        <w:t xml:space="preserve"> viser</w:t>
      </w:r>
      <w:r w:rsidRPr="00F0386F">
        <w:rPr>
          <w:rFonts w:cs="Arial"/>
          <w:sz w:val="24"/>
          <w:szCs w:val="24"/>
        </w:rPr>
        <w:t xml:space="preserve"> at </w:t>
      </w:r>
      <w:proofErr w:type="spellStart"/>
      <w:r w:rsidRPr="00F0386F">
        <w:rPr>
          <w:rFonts w:cs="Arial"/>
          <w:sz w:val="24"/>
          <w:szCs w:val="24"/>
        </w:rPr>
        <w:t>bøtelegging</w:t>
      </w:r>
      <w:proofErr w:type="spellEnd"/>
      <w:r w:rsidRPr="00F0386F">
        <w:rPr>
          <w:rFonts w:cs="Arial"/>
          <w:sz w:val="24"/>
          <w:szCs w:val="24"/>
        </w:rPr>
        <w:t xml:space="preserve"> er et effektivt tiltak for å sikre bedre etterlevelse av loven. </w:t>
      </w:r>
    </w:p>
    <w:p w14:paraId="04F473E9" w14:textId="7E191B80" w:rsidR="00F0386F" w:rsidRPr="00F0386F" w:rsidRDefault="00F0386F" w:rsidP="00F0386F">
      <w:pPr>
        <w:spacing w:after="120" w:line="240" w:lineRule="auto"/>
        <w:rPr>
          <w:rFonts w:cs="Calibri"/>
          <w:i/>
          <w:iCs/>
          <w:sz w:val="24"/>
          <w:szCs w:val="24"/>
        </w:rPr>
      </w:pPr>
      <w:r w:rsidRPr="00F0386F">
        <w:rPr>
          <w:rFonts w:cs="Arial"/>
          <w:i/>
          <w:iCs/>
          <w:sz w:val="24"/>
          <w:szCs w:val="24"/>
        </w:rPr>
        <w:t>FFO ber komiteen om å</w:t>
      </w:r>
      <w:r w:rsidR="002C5A67">
        <w:rPr>
          <w:rFonts w:cs="Arial"/>
          <w:i/>
          <w:iCs/>
          <w:sz w:val="24"/>
          <w:szCs w:val="24"/>
        </w:rPr>
        <w:t xml:space="preserve"> </w:t>
      </w:r>
      <w:r w:rsidRPr="00F0386F">
        <w:rPr>
          <w:rFonts w:cs="Arial"/>
          <w:i/>
          <w:iCs/>
          <w:sz w:val="24"/>
          <w:szCs w:val="24"/>
        </w:rPr>
        <w:t xml:space="preserve">støtte forslaget om å styrke tilsynsmyndigheten for universell utforming av IKT-løsninger under det nye Digitaliseringsdirektoratet med kr. </w:t>
      </w:r>
      <w:r w:rsidR="00C963F3">
        <w:rPr>
          <w:rFonts w:cs="Arial"/>
          <w:i/>
          <w:iCs/>
          <w:sz w:val="24"/>
          <w:szCs w:val="24"/>
        </w:rPr>
        <w:t>2</w:t>
      </w:r>
      <w:r w:rsidRPr="00F0386F">
        <w:rPr>
          <w:rFonts w:cs="Arial"/>
          <w:i/>
          <w:iCs/>
          <w:sz w:val="24"/>
          <w:szCs w:val="24"/>
        </w:rPr>
        <w:t xml:space="preserve">0 millioner under kapittel 540 og øke bruken av </w:t>
      </w:r>
      <w:proofErr w:type="spellStart"/>
      <w:r w:rsidRPr="00F0386F">
        <w:rPr>
          <w:rFonts w:cs="Arial"/>
          <w:i/>
          <w:iCs/>
          <w:sz w:val="24"/>
          <w:szCs w:val="24"/>
        </w:rPr>
        <w:t>bøtelegging</w:t>
      </w:r>
      <w:proofErr w:type="spellEnd"/>
      <w:r w:rsidRPr="00F0386F">
        <w:rPr>
          <w:rFonts w:cs="Arial"/>
          <w:i/>
          <w:iCs/>
          <w:sz w:val="24"/>
          <w:szCs w:val="24"/>
        </w:rPr>
        <w:t xml:space="preserve"> av de som ikke etterlever universell utformingsregelverket.</w:t>
      </w:r>
      <w:r w:rsidRPr="00F0386F">
        <w:rPr>
          <w:rFonts w:cs="Arial"/>
          <w:b/>
          <w:bCs/>
          <w:i/>
          <w:iCs/>
          <w:sz w:val="24"/>
          <w:szCs w:val="24"/>
        </w:rPr>
        <w:t xml:space="preserve"> </w:t>
      </w:r>
    </w:p>
    <w:p w14:paraId="1A93B036" w14:textId="612C498F" w:rsidR="00772D1C" w:rsidRDefault="00772D1C" w:rsidP="004D184C">
      <w:pPr>
        <w:spacing w:after="0"/>
        <w:rPr>
          <w:sz w:val="24"/>
          <w:szCs w:val="24"/>
        </w:rPr>
      </w:pPr>
    </w:p>
    <w:p w14:paraId="6FF8D31E" w14:textId="77777777" w:rsidR="000B0398" w:rsidRPr="000B0398" w:rsidRDefault="000B0398" w:rsidP="000B0398">
      <w:pPr>
        <w:pStyle w:val="FFOBrdtekst"/>
        <w:shd w:val="clear" w:color="auto" w:fill="002060"/>
        <w:spacing w:after="120"/>
        <w:rPr>
          <w:b/>
          <w:bCs/>
        </w:rPr>
      </w:pPr>
      <w:r w:rsidRPr="000B0398">
        <w:rPr>
          <w:b/>
          <w:bCs/>
        </w:rPr>
        <w:t xml:space="preserve">Kap. 525 </w:t>
      </w:r>
      <w:proofErr w:type="spellStart"/>
      <w:r w:rsidRPr="000B0398">
        <w:rPr>
          <w:b/>
          <w:bCs/>
        </w:rPr>
        <w:t>Statsforvalterene</w:t>
      </w:r>
      <w:proofErr w:type="spellEnd"/>
    </w:p>
    <w:p w14:paraId="37C82BA5" w14:textId="22D2CEFD" w:rsidR="000B0398" w:rsidRPr="000B0398" w:rsidRDefault="000B0398" w:rsidP="000B0398">
      <w:pPr>
        <w:spacing w:after="120"/>
        <w:rPr>
          <w:rFonts w:cs="Arial"/>
          <w:sz w:val="24"/>
          <w:szCs w:val="24"/>
        </w:rPr>
      </w:pPr>
      <w:r w:rsidRPr="000B0398">
        <w:rPr>
          <w:rFonts w:cs="Arial"/>
          <w:sz w:val="24"/>
          <w:szCs w:val="24"/>
        </w:rPr>
        <w:t>Kommunene og fylkeskommunene gjennomfører nødvendige tiltak for å realisere rettighetene til personer med funksjonsnedsettelser. Samtidig vet vi at menneskerettighetene til denne minoriteten brytes daglig. Det er derfor helt nødvendig at Statsforvalterne både arbeider for økt kunnskap om FNs konvensjon for rettighetene til mennesker med nedsatt funksjonsevne (CRPD) og selv vurdere</w:t>
      </w:r>
      <w:r>
        <w:rPr>
          <w:rFonts w:cs="Arial"/>
          <w:sz w:val="24"/>
          <w:szCs w:val="24"/>
        </w:rPr>
        <w:t>r</w:t>
      </w:r>
      <w:r w:rsidRPr="000B0398">
        <w:rPr>
          <w:rFonts w:cs="Arial"/>
          <w:sz w:val="24"/>
          <w:szCs w:val="24"/>
        </w:rPr>
        <w:t xml:space="preserve"> innkomne klager i lys av CRPD. For å sikre et målrettet arbeid er det nødvendig at Statsforvalternes kontor har et årsverk som kun jobber med CRPD. </w:t>
      </w:r>
    </w:p>
    <w:p w14:paraId="60D4DCED" w14:textId="6F3B4923" w:rsidR="000B0398" w:rsidRPr="000B0398" w:rsidRDefault="000B0398" w:rsidP="000B0398">
      <w:pPr>
        <w:rPr>
          <w:rFonts w:cs="Arial"/>
          <w:i/>
          <w:iCs/>
          <w:sz w:val="24"/>
          <w:szCs w:val="24"/>
        </w:rPr>
      </w:pPr>
      <w:r w:rsidRPr="000B0398">
        <w:rPr>
          <w:rFonts w:cs="Arial"/>
          <w:i/>
          <w:iCs/>
          <w:sz w:val="24"/>
          <w:szCs w:val="24"/>
        </w:rPr>
        <w:t>FFO ber komiteen om å ø</w:t>
      </w:r>
      <w:r w:rsidRPr="000B0398">
        <w:rPr>
          <w:rFonts w:cs="Arial"/>
          <w:i/>
          <w:iCs/>
          <w:sz w:val="24"/>
          <w:szCs w:val="24"/>
        </w:rPr>
        <w:t xml:space="preserve">ke </w:t>
      </w:r>
      <w:proofErr w:type="spellStart"/>
      <w:r w:rsidRPr="000B0398">
        <w:rPr>
          <w:rFonts w:cs="Arial"/>
          <w:i/>
          <w:iCs/>
          <w:sz w:val="24"/>
          <w:szCs w:val="24"/>
        </w:rPr>
        <w:t>kap</w:t>
      </w:r>
      <w:proofErr w:type="spellEnd"/>
      <w:r w:rsidRPr="000B0398">
        <w:rPr>
          <w:rFonts w:cs="Arial"/>
          <w:i/>
          <w:iCs/>
          <w:sz w:val="24"/>
          <w:szCs w:val="24"/>
        </w:rPr>
        <w:t xml:space="preserve"> 525, post 01, med kr 15 millioner som øremerkes til et årsverk som kun jobber med CRPD i hvert fylke.</w:t>
      </w:r>
    </w:p>
    <w:sectPr w:rsidR="000B0398" w:rsidRPr="000B039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8644B" w14:textId="77777777" w:rsidR="007A0C34" w:rsidRDefault="007A0C34" w:rsidP="00D657D6">
      <w:pPr>
        <w:spacing w:after="0" w:line="240" w:lineRule="auto"/>
      </w:pPr>
      <w:r>
        <w:separator/>
      </w:r>
    </w:p>
  </w:endnote>
  <w:endnote w:type="continuationSeparator" w:id="0">
    <w:p w14:paraId="5B8D2658" w14:textId="77777777" w:rsidR="007A0C34" w:rsidRDefault="007A0C34" w:rsidP="00D657D6">
      <w:pPr>
        <w:spacing w:after="0" w:line="240" w:lineRule="auto"/>
      </w:pPr>
      <w:r>
        <w:continuationSeparator/>
      </w:r>
    </w:p>
  </w:endnote>
  <w:endnote w:type="continuationNotice" w:id="1">
    <w:p w14:paraId="45CBC459" w14:textId="77777777" w:rsidR="007A0C34" w:rsidRDefault="007A0C34">
      <w:pPr>
        <w:spacing w:after="0" w:line="240" w:lineRule="auto"/>
      </w:pPr>
    </w:p>
  </w:endnote>
  <w:endnote w:id="2">
    <w:p w14:paraId="380C538E" w14:textId="2B935615" w:rsidR="006E43FE" w:rsidRDefault="006E43FE">
      <w:pPr>
        <w:pStyle w:val="Sluttnotetekst"/>
      </w:pPr>
      <w:r>
        <w:rPr>
          <w:rStyle w:val="Sluttnotereferanse"/>
        </w:rPr>
        <w:endnoteRef/>
      </w:r>
      <w:r>
        <w:t xml:space="preserve"> </w:t>
      </w:r>
      <w:r w:rsidR="00210B16">
        <w:t>Undersøkelse gjennomført i 2021 av Unge funksjonshemmede i samarbeid med FFO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9718966"/>
      <w:docPartObj>
        <w:docPartGallery w:val="Page Numbers (Bottom of Page)"/>
        <w:docPartUnique/>
      </w:docPartObj>
    </w:sdtPr>
    <w:sdtEndPr/>
    <w:sdtContent>
      <w:p w14:paraId="467CABDF" w14:textId="4E0D8CB2" w:rsidR="004D0D05" w:rsidRDefault="004D0D05">
        <w:pPr>
          <w:pStyle w:val="Bunntekst"/>
          <w:jc w:val="center"/>
        </w:pPr>
        <w:r>
          <w:fldChar w:fldCharType="begin"/>
        </w:r>
        <w:r>
          <w:instrText>PAGE   \* MERGEFORMAT</w:instrText>
        </w:r>
        <w:r>
          <w:fldChar w:fldCharType="separate"/>
        </w:r>
        <w:r>
          <w:t>2</w:t>
        </w:r>
        <w:r>
          <w:fldChar w:fldCharType="end"/>
        </w:r>
      </w:p>
    </w:sdtContent>
  </w:sdt>
  <w:p w14:paraId="2F9E1916" w14:textId="77777777" w:rsidR="004D0D05" w:rsidRDefault="004D0D0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2CD64" w14:textId="77777777" w:rsidR="007A0C34" w:rsidRDefault="007A0C34" w:rsidP="00D657D6">
      <w:pPr>
        <w:spacing w:after="0" w:line="240" w:lineRule="auto"/>
      </w:pPr>
      <w:r>
        <w:separator/>
      </w:r>
    </w:p>
  </w:footnote>
  <w:footnote w:type="continuationSeparator" w:id="0">
    <w:p w14:paraId="1515696B" w14:textId="77777777" w:rsidR="007A0C34" w:rsidRDefault="007A0C34" w:rsidP="00D657D6">
      <w:pPr>
        <w:spacing w:after="0" w:line="240" w:lineRule="auto"/>
      </w:pPr>
      <w:r>
        <w:continuationSeparator/>
      </w:r>
    </w:p>
  </w:footnote>
  <w:footnote w:type="continuationNotice" w:id="1">
    <w:p w14:paraId="6FE015CC" w14:textId="77777777" w:rsidR="007A0C34" w:rsidRDefault="007A0C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B80E66"/>
    <w:multiLevelType w:val="hybridMultilevel"/>
    <w:tmpl w:val="1B644594"/>
    <w:lvl w:ilvl="0" w:tplc="9CE691AA">
      <w:start w:val="1"/>
      <w:numFmt w:val="bullet"/>
      <w:pStyle w:val="PunktlisteiboksFFO"/>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32375D3"/>
    <w:multiLevelType w:val="hybridMultilevel"/>
    <w:tmpl w:val="DBF60946"/>
    <w:lvl w:ilvl="0" w:tplc="11ECFCBA">
      <w:start w:val="47"/>
      <w:numFmt w:val="bullet"/>
      <w:lvlText w:val="-"/>
      <w:lvlJc w:val="left"/>
      <w:pPr>
        <w:ind w:left="1800" w:hanging="360"/>
      </w:pPr>
      <w:rPr>
        <w:rFonts w:ascii="Arial" w:eastAsia="Calibri" w:hAnsi="Arial" w:cs="Arial" w:hint="default"/>
        <w:b/>
      </w:rPr>
    </w:lvl>
    <w:lvl w:ilvl="1" w:tplc="04140003">
      <w:start w:val="1"/>
      <w:numFmt w:val="bullet"/>
      <w:lvlText w:val="o"/>
      <w:lvlJc w:val="left"/>
      <w:pPr>
        <w:ind w:left="2520" w:hanging="360"/>
      </w:pPr>
      <w:rPr>
        <w:rFonts w:ascii="Courier New" w:hAnsi="Courier New" w:cs="Courier New" w:hint="default"/>
      </w:rPr>
    </w:lvl>
    <w:lvl w:ilvl="2" w:tplc="04140005">
      <w:start w:val="1"/>
      <w:numFmt w:val="bullet"/>
      <w:lvlText w:val=""/>
      <w:lvlJc w:val="left"/>
      <w:pPr>
        <w:ind w:left="3240" w:hanging="360"/>
      </w:pPr>
      <w:rPr>
        <w:rFonts w:ascii="Wingdings" w:hAnsi="Wingdings" w:hint="default"/>
      </w:rPr>
    </w:lvl>
    <w:lvl w:ilvl="3" w:tplc="04140001">
      <w:start w:val="1"/>
      <w:numFmt w:val="bullet"/>
      <w:lvlText w:val=""/>
      <w:lvlJc w:val="left"/>
      <w:pPr>
        <w:ind w:left="3960" w:hanging="360"/>
      </w:pPr>
      <w:rPr>
        <w:rFonts w:ascii="Symbol" w:hAnsi="Symbol" w:hint="default"/>
      </w:rPr>
    </w:lvl>
    <w:lvl w:ilvl="4" w:tplc="04140003">
      <w:start w:val="1"/>
      <w:numFmt w:val="bullet"/>
      <w:lvlText w:val="o"/>
      <w:lvlJc w:val="left"/>
      <w:pPr>
        <w:ind w:left="4680" w:hanging="360"/>
      </w:pPr>
      <w:rPr>
        <w:rFonts w:ascii="Courier New" w:hAnsi="Courier New" w:cs="Courier New" w:hint="default"/>
      </w:rPr>
    </w:lvl>
    <w:lvl w:ilvl="5" w:tplc="04140005">
      <w:start w:val="1"/>
      <w:numFmt w:val="bullet"/>
      <w:lvlText w:val=""/>
      <w:lvlJc w:val="left"/>
      <w:pPr>
        <w:ind w:left="5400" w:hanging="360"/>
      </w:pPr>
      <w:rPr>
        <w:rFonts w:ascii="Wingdings" w:hAnsi="Wingdings" w:hint="default"/>
      </w:rPr>
    </w:lvl>
    <w:lvl w:ilvl="6" w:tplc="04140001">
      <w:start w:val="1"/>
      <w:numFmt w:val="bullet"/>
      <w:lvlText w:val=""/>
      <w:lvlJc w:val="left"/>
      <w:pPr>
        <w:ind w:left="6120" w:hanging="360"/>
      </w:pPr>
      <w:rPr>
        <w:rFonts w:ascii="Symbol" w:hAnsi="Symbol" w:hint="default"/>
      </w:rPr>
    </w:lvl>
    <w:lvl w:ilvl="7" w:tplc="04140003">
      <w:start w:val="1"/>
      <w:numFmt w:val="bullet"/>
      <w:lvlText w:val="o"/>
      <w:lvlJc w:val="left"/>
      <w:pPr>
        <w:ind w:left="6840" w:hanging="360"/>
      </w:pPr>
      <w:rPr>
        <w:rFonts w:ascii="Courier New" w:hAnsi="Courier New" w:cs="Courier New" w:hint="default"/>
      </w:rPr>
    </w:lvl>
    <w:lvl w:ilvl="8" w:tplc="04140005">
      <w:start w:val="1"/>
      <w:numFmt w:val="bullet"/>
      <w:lvlText w:val=""/>
      <w:lvlJc w:val="left"/>
      <w:pPr>
        <w:ind w:left="756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EBF"/>
    <w:rsid w:val="00007091"/>
    <w:rsid w:val="00007312"/>
    <w:rsid w:val="00016627"/>
    <w:rsid w:val="0002029C"/>
    <w:rsid w:val="0003053E"/>
    <w:rsid w:val="00030847"/>
    <w:rsid w:val="000360EC"/>
    <w:rsid w:val="00063A9B"/>
    <w:rsid w:val="000731B3"/>
    <w:rsid w:val="00074570"/>
    <w:rsid w:val="00076D49"/>
    <w:rsid w:val="000821EC"/>
    <w:rsid w:val="000837F4"/>
    <w:rsid w:val="00093F82"/>
    <w:rsid w:val="00096004"/>
    <w:rsid w:val="000A6933"/>
    <w:rsid w:val="000B0398"/>
    <w:rsid w:val="000B5CC4"/>
    <w:rsid w:val="000C5325"/>
    <w:rsid w:val="000C6596"/>
    <w:rsid w:val="000D294E"/>
    <w:rsid w:val="000F0253"/>
    <w:rsid w:val="000F20CB"/>
    <w:rsid w:val="00100D82"/>
    <w:rsid w:val="00125CD0"/>
    <w:rsid w:val="00130D91"/>
    <w:rsid w:val="001434C7"/>
    <w:rsid w:val="00154808"/>
    <w:rsid w:val="00167459"/>
    <w:rsid w:val="00172DD2"/>
    <w:rsid w:val="001A5293"/>
    <w:rsid w:val="001A6EBF"/>
    <w:rsid w:val="001C3B8D"/>
    <w:rsid w:val="001C6769"/>
    <w:rsid w:val="001D0F28"/>
    <w:rsid w:val="001D43C6"/>
    <w:rsid w:val="001E2D70"/>
    <w:rsid w:val="001F05A3"/>
    <w:rsid w:val="001F4622"/>
    <w:rsid w:val="00201916"/>
    <w:rsid w:val="002048E3"/>
    <w:rsid w:val="0021058D"/>
    <w:rsid w:val="00210B16"/>
    <w:rsid w:val="00211E31"/>
    <w:rsid w:val="00234019"/>
    <w:rsid w:val="00235CE3"/>
    <w:rsid w:val="002426D3"/>
    <w:rsid w:val="00246A15"/>
    <w:rsid w:val="0026500B"/>
    <w:rsid w:val="0027077F"/>
    <w:rsid w:val="002723AE"/>
    <w:rsid w:val="002835C4"/>
    <w:rsid w:val="00285E47"/>
    <w:rsid w:val="00290756"/>
    <w:rsid w:val="00294AA8"/>
    <w:rsid w:val="002A7608"/>
    <w:rsid w:val="002B3B57"/>
    <w:rsid w:val="002B756F"/>
    <w:rsid w:val="002C5A67"/>
    <w:rsid w:val="002C7EAB"/>
    <w:rsid w:val="002E0C83"/>
    <w:rsid w:val="002F3471"/>
    <w:rsid w:val="002F4052"/>
    <w:rsid w:val="00305C6C"/>
    <w:rsid w:val="003171F9"/>
    <w:rsid w:val="00325DFC"/>
    <w:rsid w:val="003270CD"/>
    <w:rsid w:val="00335B9B"/>
    <w:rsid w:val="003422F1"/>
    <w:rsid w:val="0034625B"/>
    <w:rsid w:val="0035394A"/>
    <w:rsid w:val="003548FC"/>
    <w:rsid w:val="00361B96"/>
    <w:rsid w:val="003631BF"/>
    <w:rsid w:val="00375555"/>
    <w:rsid w:val="003A1675"/>
    <w:rsid w:val="003C3965"/>
    <w:rsid w:val="003C6163"/>
    <w:rsid w:val="003E7D7D"/>
    <w:rsid w:val="003F7A6E"/>
    <w:rsid w:val="00402104"/>
    <w:rsid w:val="00402DE9"/>
    <w:rsid w:val="004202B8"/>
    <w:rsid w:val="004208E8"/>
    <w:rsid w:val="004239F2"/>
    <w:rsid w:val="00431FE2"/>
    <w:rsid w:val="00436368"/>
    <w:rsid w:val="00442BE1"/>
    <w:rsid w:val="00451504"/>
    <w:rsid w:val="00452E9F"/>
    <w:rsid w:val="00483B32"/>
    <w:rsid w:val="00486702"/>
    <w:rsid w:val="004A3D8D"/>
    <w:rsid w:val="004C1A06"/>
    <w:rsid w:val="004D0D05"/>
    <w:rsid w:val="004D184C"/>
    <w:rsid w:val="004E0077"/>
    <w:rsid w:val="004F3790"/>
    <w:rsid w:val="004F6935"/>
    <w:rsid w:val="0050056A"/>
    <w:rsid w:val="005121BB"/>
    <w:rsid w:val="00522234"/>
    <w:rsid w:val="00526198"/>
    <w:rsid w:val="00533EA8"/>
    <w:rsid w:val="00561001"/>
    <w:rsid w:val="0056585A"/>
    <w:rsid w:val="00574117"/>
    <w:rsid w:val="00585746"/>
    <w:rsid w:val="00587518"/>
    <w:rsid w:val="005937BE"/>
    <w:rsid w:val="005B0A4C"/>
    <w:rsid w:val="005B258F"/>
    <w:rsid w:val="005B4EB0"/>
    <w:rsid w:val="005B5680"/>
    <w:rsid w:val="005C7062"/>
    <w:rsid w:val="005D089D"/>
    <w:rsid w:val="005D5325"/>
    <w:rsid w:val="005D5568"/>
    <w:rsid w:val="005E6AC2"/>
    <w:rsid w:val="00606EE6"/>
    <w:rsid w:val="006154B7"/>
    <w:rsid w:val="006273AE"/>
    <w:rsid w:val="00630BD5"/>
    <w:rsid w:val="00634188"/>
    <w:rsid w:val="0064748B"/>
    <w:rsid w:val="006872DC"/>
    <w:rsid w:val="006A6C03"/>
    <w:rsid w:val="006A7EE7"/>
    <w:rsid w:val="006B38A0"/>
    <w:rsid w:val="006B53CF"/>
    <w:rsid w:val="006B70BE"/>
    <w:rsid w:val="006D520F"/>
    <w:rsid w:val="006E0336"/>
    <w:rsid w:val="006E43FE"/>
    <w:rsid w:val="006F3002"/>
    <w:rsid w:val="00700CA9"/>
    <w:rsid w:val="00711B76"/>
    <w:rsid w:val="00722694"/>
    <w:rsid w:val="00723FAC"/>
    <w:rsid w:val="007242D9"/>
    <w:rsid w:val="0073256B"/>
    <w:rsid w:val="007328BF"/>
    <w:rsid w:val="0074304E"/>
    <w:rsid w:val="00753822"/>
    <w:rsid w:val="00754026"/>
    <w:rsid w:val="00757B44"/>
    <w:rsid w:val="00763D22"/>
    <w:rsid w:val="00764140"/>
    <w:rsid w:val="00770CC3"/>
    <w:rsid w:val="00772D1C"/>
    <w:rsid w:val="00774625"/>
    <w:rsid w:val="007909FA"/>
    <w:rsid w:val="00793249"/>
    <w:rsid w:val="007A06A7"/>
    <w:rsid w:val="007A0C34"/>
    <w:rsid w:val="007A33BA"/>
    <w:rsid w:val="007B170A"/>
    <w:rsid w:val="007B21E7"/>
    <w:rsid w:val="007C31F3"/>
    <w:rsid w:val="007C4B83"/>
    <w:rsid w:val="007C6266"/>
    <w:rsid w:val="007C66C0"/>
    <w:rsid w:val="007C7731"/>
    <w:rsid w:val="007E10C8"/>
    <w:rsid w:val="007E231A"/>
    <w:rsid w:val="007E49F4"/>
    <w:rsid w:val="007F4BAC"/>
    <w:rsid w:val="00813A16"/>
    <w:rsid w:val="00814E81"/>
    <w:rsid w:val="00820181"/>
    <w:rsid w:val="00823AF8"/>
    <w:rsid w:val="00824B4D"/>
    <w:rsid w:val="008351A7"/>
    <w:rsid w:val="008428EE"/>
    <w:rsid w:val="00842A2C"/>
    <w:rsid w:val="00842BB7"/>
    <w:rsid w:val="00847150"/>
    <w:rsid w:val="00847A7B"/>
    <w:rsid w:val="00866558"/>
    <w:rsid w:val="008671AA"/>
    <w:rsid w:val="00875032"/>
    <w:rsid w:val="00883EC2"/>
    <w:rsid w:val="00885FC8"/>
    <w:rsid w:val="00887C99"/>
    <w:rsid w:val="00895222"/>
    <w:rsid w:val="008A08E1"/>
    <w:rsid w:val="008B0592"/>
    <w:rsid w:val="008C1DA3"/>
    <w:rsid w:val="008D7CF7"/>
    <w:rsid w:val="008F5F15"/>
    <w:rsid w:val="00903C96"/>
    <w:rsid w:val="009060DF"/>
    <w:rsid w:val="00907C39"/>
    <w:rsid w:val="00911D80"/>
    <w:rsid w:val="009137F7"/>
    <w:rsid w:val="00924479"/>
    <w:rsid w:val="00924FC1"/>
    <w:rsid w:val="00926C56"/>
    <w:rsid w:val="00937126"/>
    <w:rsid w:val="009629EB"/>
    <w:rsid w:val="00967BA9"/>
    <w:rsid w:val="00967ECE"/>
    <w:rsid w:val="009744F1"/>
    <w:rsid w:val="00991B5A"/>
    <w:rsid w:val="00992AD4"/>
    <w:rsid w:val="009955FF"/>
    <w:rsid w:val="00995D28"/>
    <w:rsid w:val="009962E8"/>
    <w:rsid w:val="009A47EF"/>
    <w:rsid w:val="009A557C"/>
    <w:rsid w:val="009C202F"/>
    <w:rsid w:val="009D581A"/>
    <w:rsid w:val="00A0192F"/>
    <w:rsid w:val="00A0536E"/>
    <w:rsid w:val="00A055A1"/>
    <w:rsid w:val="00A164E9"/>
    <w:rsid w:val="00A33FA7"/>
    <w:rsid w:val="00A3791A"/>
    <w:rsid w:val="00A6162F"/>
    <w:rsid w:val="00A72411"/>
    <w:rsid w:val="00A75675"/>
    <w:rsid w:val="00A76D46"/>
    <w:rsid w:val="00A81B1E"/>
    <w:rsid w:val="00A82A29"/>
    <w:rsid w:val="00AA7059"/>
    <w:rsid w:val="00AA7AF3"/>
    <w:rsid w:val="00AA7E08"/>
    <w:rsid w:val="00AB3152"/>
    <w:rsid w:val="00AB5AE4"/>
    <w:rsid w:val="00AD1143"/>
    <w:rsid w:val="00AE0652"/>
    <w:rsid w:val="00AE235E"/>
    <w:rsid w:val="00AF1D44"/>
    <w:rsid w:val="00B146B6"/>
    <w:rsid w:val="00B16E0A"/>
    <w:rsid w:val="00B202A9"/>
    <w:rsid w:val="00B271B2"/>
    <w:rsid w:val="00B443B9"/>
    <w:rsid w:val="00B51713"/>
    <w:rsid w:val="00B54215"/>
    <w:rsid w:val="00B558A5"/>
    <w:rsid w:val="00B60EEF"/>
    <w:rsid w:val="00B60F36"/>
    <w:rsid w:val="00B61671"/>
    <w:rsid w:val="00B62573"/>
    <w:rsid w:val="00B65EF9"/>
    <w:rsid w:val="00B67FD9"/>
    <w:rsid w:val="00B73BB2"/>
    <w:rsid w:val="00B93FA6"/>
    <w:rsid w:val="00B95F98"/>
    <w:rsid w:val="00BC0FD9"/>
    <w:rsid w:val="00BC5669"/>
    <w:rsid w:val="00BD171F"/>
    <w:rsid w:val="00BE7799"/>
    <w:rsid w:val="00BF02BB"/>
    <w:rsid w:val="00BF50AE"/>
    <w:rsid w:val="00C1554F"/>
    <w:rsid w:val="00C2322E"/>
    <w:rsid w:val="00C25A01"/>
    <w:rsid w:val="00C31CA5"/>
    <w:rsid w:val="00C41C48"/>
    <w:rsid w:val="00C56F47"/>
    <w:rsid w:val="00C64FE6"/>
    <w:rsid w:val="00C91976"/>
    <w:rsid w:val="00C92C71"/>
    <w:rsid w:val="00C963F3"/>
    <w:rsid w:val="00CA4B0A"/>
    <w:rsid w:val="00CB376E"/>
    <w:rsid w:val="00CB463D"/>
    <w:rsid w:val="00CB5E97"/>
    <w:rsid w:val="00CD0508"/>
    <w:rsid w:val="00CD56E3"/>
    <w:rsid w:val="00CD607F"/>
    <w:rsid w:val="00CE4063"/>
    <w:rsid w:val="00CE6461"/>
    <w:rsid w:val="00CF202A"/>
    <w:rsid w:val="00CF34B1"/>
    <w:rsid w:val="00D131CA"/>
    <w:rsid w:val="00D173B7"/>
    <w:rsid w:val="00D1764E"/>
    <w:rsid w:val="00D20247"/>
    <w:rsid w:val="00D44194"/>
    <w:rsid w:val="00D657D6"/>
    <w:rsid w:val="00D757F2"/>
    <w:rsid w:val="00D91206"/>
    <w:rsid w:val="00D922FD"/>
    <w:rsid w:val="00DA12E6"/>
    <w:rsid w:val="00DA131B"/>
    <w:rsid w:val="00DB4141"/>
    <w:rsid w:val="00DB5B84"/>
    <w:rsid w:val="00DC0433"/>
    <w:rsid w:val="00DC24F6"/>
    <w:rsid w:val="00DC4C90"/>
    <w:rsid w:val="00DC6CE1"/>
    <w:rsid w:val="00DD5991"/>
    <w:rsid w:val="00DF10F0"/>
    <w:rsid w:val="00E003F3"/>
    <w:rsid w:val="00E02788"/>
    <w:rsid w:val="00E02F95"/>
    <w:rsid w:val="00E0582A"/>
    <w:rsid w:val="00E12593"/>
    <w:rsid w:val="00E257FE"/>
    <w:rsid w:val="00E326C5"/>
    <w:rsid w:val="00E343BE"/>
    <w:rsid w:val="00E41BC6"/>
    <w:rsid w:val="00E56DE6"/>
    <w:rsid w:val="00E578BE"/>
    <w:rsid w:val="00E62B85"/>
    <w:rsid w:val="00E6552F"/>
    <w:rsid w:val="00E65721"/>
    <w:rsid w:val="00E673B0"/>
    <w:rsid w:val="00E70AEA"/>
    <w:rsid w:val="00E81BFD"/>
    <w:rsid w:val="00E9168F"/>
    <w:rsid w:val="00E94E24"/>
    <w:rsid w:val="00EA4FAE"/>
    <w:rsid w:val="00EA6156"/>
    <w:rsid w:val="00EA72F8"/>
    <w:rsid w:val="00EB2766"/>
    <w:rsid w:val="00EE26D0"/>
    <w:rsid w:val="00EE6283"/>
    <w:rsid w:val="00EF43DA"/>
    <w:rsid w:val="00F0386F"/>
    <w:rsid w:val="00F14BAC"/>
    <w:rsid w:val="00F156CE"/>
    <w:rsid w:val="00F16525"/>
    <w:rsid w:val="00F167B7"/>
    <w:rsid w:val="00F422EC"/>
    <w:rsid w:val="00F574BA"/>
    <w:rsid w:val="00F60958"/>
    <w:rsid w:val="00F73BE7"/>
    <w:rsid w:val="00F84EA9"/>
    <w:rsid w:val="00F9254E"/>
    <w:rsid w:val="00F92E04"/>
    <w:rsid w:val="00FA451A"/>
    <w:rsid w:val="00FB25D8"/>
    <w:rsid w:val="00FB2F81"/>
    <w:rsid w:val="00FB551C"/>
    <w:rsid w:val="00FB6370"/>
    <w:rsid w:val="00FC1124"/>
    <w:rsid w:val="00FC1E04"/>
    <w:rsid w:val="00FC4D4C"/>
    <w:rsid w:val="00FC78E0"/>
    <w:rsid w:val="00FD748F"/>
    <w:rsid w:val="00FE7962"/>
    <w:rsid w:val="00FF1D4E"/>
    <w:rsid w:val="00FF3CF9"/>
    <w:rsid w:val="00FF5823"/>
    <w:rsid w:val="00FF6055"/>
    <w:rsid w:val="00FF617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0B026"/>
  <w15:chartTrackingRefBased/>
  <w15:docId w15:val="{38B14ACD-DCAF-4F84-9C1C-56B94EC2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6EBF"/>
  </w:style>
  <w:style w:type="paragraph" w:styleId="Overskrift1">
    <w:name w:val="heading 1"/>
    <w:aliases w:val="ikke bruk 3"/>
    <w:basedOn w:val="Normal"/>
    <w:next w:val="Normal"/>
    <w:link w:val="Overskrift1Tegn"/>
    <w:uiPriority w:val="9"/>
    <w:rsid w:val="001A6E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1A6EBF"/>
    <w:pPr>
      <w:keepNext/>
      <w:keepLines/>
      <w:spacing w:before="40" w:after="0"/>
      <w:outlineLvl w:val="1"/>
    </w:pPr>
    <w:rPr>
      <w:rFonts w:asciiTheme="majorHAnsi" w:eastAsiaTheme="majorEastAsia" w:hAnsiTheme="majorHAnsi" w:cstheme="majorBidi"/>
      <w:color w:val="002060"/>
      <w:sz w:val="3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aliases w:val="ikke bruk 3 Tegn"/>
    <w:basedOn w:val="Standardskriftforavsnitt"/>
    <w:link w:val="Overskrift1"/>
    <w:uiPriority w:val="9"/>
    <w:rsid w:val="001A6EBF"/>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1A6EBF"/>
    <w:rPr>
      <w:rFonts w:asciiTheme="majorHAnsi" w:eastAsiaTheme="majorEastAsia" w:hAnsiTheme="majorHAnsi" w:cstheme="majorBidi"/>
      <w:color w:val="002060"/>
      <w:sz w:val="36"/>
      <w:szCs w:val="26"/>
    </w:rPr>
  </w:style>
  <w:style w:type="paragraph" w:customStyle="1" w:styleId="FFOoverskrift1">
    <w:name w:val="FFO overskrift 1"/>
    <w:basedOn w:val="Ingenmellomrom"/>
    <w:link w:val="FFOoverskrift1Tegn"/>
    <w:qFormat/>
    <w:rsid w:val="001A6EBF"/>
    <w:pPr>
      <w:spacing w:before="360" w:after="400"/>
    </w:pPr>
    <w:rPr>
      <w:rFonts w:asciiTheme="majorHAnsi" w:hAnsiTheme="majorHAnsi"/>
      <w:b/>
      <w:color w:val="002060"/>
      <w:sz w:val="44"/>
    </w:rPr>
  </w:style>
  <w:style w:type="paragraph" w:customStyle="1" w:styleId="FFOBrdtekst">
    <w:name w:val="FFO Brødtekst"/>
    <w:basedOn w:val="Normal"/>
    <w:link w:val="FFOBrdtekstTegn"/>
    <w:qFormat/>
    <w:rsid w:val="001A6EBF"/>
    <w:pPr>
      <w:spacing w:after="40"/>
    </w:pPr>
    <w:rPr>
      <w:sz w:val="24"/>
    </w:rPr>
  </w:style>
  <w:style w:type="character" w:customStyle="1" w:styleId="FFOoverskrift1Tegn">
    <w:name w:val="FFO overskrift 1 Tegn"/>
    <w:basedOn w:val="Standardskriftforavsnitt"/>
    <w:link w:val="FFOoverskrift1"/>
    <w:rsid w:val="001A6EBF"/>
    <w:rPr>
      <w:rFonts w:asciiTheme="majorHAnsi" w:hAnsiTheme="majorHAnsi"/>
      <w:b/>
      <w:color w:val="002060"/>
      <w:sz w:val="44"/>
    </w:rPr>
  </w:style>
  <w:style w:type="paragraph" w:customStyle="1" w:styleId="Overskrifttilrdning">
    <w:name w:val="Overskrift tilrådning"/>
    <w:basedOn w:val="Normal"/>
    <w:link w:val="OverskrifttilrdningTegn"/>
    <w:qFormat/>
    <w:rsid w:val="001A6EBF"/>
    <w:rPr>
      <w:b/>
      <w:color w:val="808080" w:themeColor="background1" w:themeShade="80"/>
      <w:sz w:val="28"/>
      <w:szCs w:val="28"/>
      <w14:textOutline w14:w="0" w14:cap="flat" w14:cmpd="sng" w14:algn="ctr">
        <w14:noFill/>
        <w14:prstDash w14:val="solid"/>
        <w14:round/>
      </w14:textOutline>
      <w14:props3d w14:extrusionH="57150" w14:contourW="0" w14:prstMaterial="softEdge">
        <w14:bevelT w14:w="25400" w14:h="38100" w14:prst="circle"/>
      </w14:props3d>
    </w:rPr>
  </w:style>
  <w:style w:type="character" w:customStyle="1" w:styleId="FFOBrdtekstTegn">
    <w:name w:val="FFO Brødtekst Tegn"/>
    <w:basedOn w:val="Standardskriftforavsnitt"/>
    <w:link w:val="FFOBrdtekst"/>
    <w:rsid w:val="001A6EBF"/>
    <w:rPr>
      <w:sz w:val="24"/>
    </w:rPr>
  </w:style>
  <w:style w:type="character" w:customStyle="1" w:styleId="OverskrifttilrdningTegn">
    <w:name w:val="Overskrift tilrådning Tegn"/>
    <w:basedOn w:val="Standardskriftforavsnitt"/>
    <w:link w:val="Overskrifttilrdning"/>
    <w:rsid w:val="001A6EBF"/>
    <w:rPr>
      <w:b/>
      <w:color w:val="808080" w:themeColor="background1" w:themeShade="80"/>
      <w:sz w:val="28"/>
      <w:szCs w:val="28"/>
      <w14:textOutline w14:w="0" w14:cap="flat" w14:cmpd="sng" w14:algn="ctr">
        <w14:noFill/>
        <w14:prstDash w14:val="solid"/>
        <w14:round/>
      </w14:textOutline>
      <w14:props3d w14:extrusionH="57150" w14:contourW="0" w14:prstMaterial="softEdge">
        <w14:bevelT w14:w="25400" w14:h="38100" w14:prst="circle"/>
      </w14:props3d>
    </w:rPr>
  </w:style>
  <w:style w:type="paragraph" w:customStyle="1" w:styleId="PunktlisteiboksFFO">
    <w:name w:val="Punktliste i boks FFO"/>
    <w:basedOn w:val="Normal"/>
    <w:link w:val="PunktlisteiboksFFOTegn"/>
    <w:qFormat/>
    <w:rsid w:val="001A6EBF"/>
    <w:pPr>
      <w:numPr>
        <w:numId w:val="1"/>
      </w:numPr>
      <w:spacing w:after="200" w:line="276" w:lineRule="auto"/>
      <w:contextualSpacing/>
    </w:pPr>
    <w:rPr>
      <w:i/>
      <w:sz w:val="24"/>
      <w:szCs w:val="24"/>
    </w:rPr>
  </w:style>
  <w:style w:type="character" w:customStyle="1" w:styleId="PunktlisteiboksFFOTegn">
    <w:name w:val="Punktliste i boks FFO Tegn"/>
    <w:basedOn w:val="Standardskriftforavsnitt"/>
    <w:link w:val="PunktlisteiboksFFO"/>
    <w:rsid w:val="001A6EBF"/>
    <w:rPr>
      <w:i/>
      <w:sz w:val="24"/>
      <w:szCs w:val="24"/>
    </w:rPr>
  </w:style>
  <w:style w:type="paragraph" w:customStyle="1" w:styleId="Forsideoverskrift">
    <w:name w:val="Forside overskrift"/>
    <w:basedOn w:val="Ingenmellomrom"/>
    <w:link w:val="ForsideoverskriftTegn"/>
    <w:qFormat/>
    <w:rsid w:val="001A6EBF"/>
    <w:pPr>
      <w:framePr w:hSpace="187" w:wrap="around" w:hAnchor="margin" w:xAlign="center" w:y="2881"/>
      <w:spacing w:line="216" w:lineRule="auto"/>
    </w:pPr>
    <w:rPr>
      <w:rFonts w:asciiTheme="majorHAnsi" w:eastAsiaTheme="majorEastAsia" w:hAnsiTheme="majorHAnsi" w:cstheme="majorBidi"/>
      <w:b/>
      <w:color w:val="002060"/>
      <w:sz w:val="56"/>
      <w:szCs w:val="88"/>
    </w:rPr>
  </w:style>
  <w:style w:type="character" w:customStyle="1" w:styleId="ForsideoverskriftTegn">
    <w:name w:val="Forside overskrift Tegn"/>
    <w:basedOn w:val="Standardskriftforavsnitt"/>
    <w:link w:val="Forsideoverskrift"/>
    <w:rsid w:val="001A6EBF"/>
    <w:rPr>
      <w:rFonts w:asciiTheme="majorHAnsi" w:eastAsiaTheme="majorEastAsia" w:hAnsiTheme="majorHAnsi" w:cstheme="majorBidi"/>
      <w:b/>
      <w:color w:val="002060"/>
      <w:sz w:val="56"/>
      <w:szCs w:val="88"/>
    </w:rPr>
  </w:style>
  <w:style w:type="paragraph" w:customStyle="1" w:styleId="Default">
    <w:name w:val="Default"/>
    <w:basedOn w:val="Normal"/>
    <w:rsid w:val="001A6EBF"/>
    <w:pPr>
      <w:autoSpaceDE w:val="0"/>
      <w:autoSpaceDN w:val="0"/>
      <w:spacing w:after="0" w:line="240" w:lineRule="auto"/>
    </w:pPr>
    <w:rPr>
      <w:rFonts w:ascii="Arial" w:hAnsi="Arial" w:cs="Arial"/>
      <w:color w:val="000000"/>
      <w:sz w:val="24"/>
      <w:szCs w:val="24"/>
    </w:rPr>
  </w:style>
  <w:style w:type="paragraph" w:styleId="Ingenmellomrom">
    <w:name w:val="No Spacing"/>
    <w:uiPriority w:val="1"/>
    <w:qFormat/>
    <w:rsid w:val="001A6EBF"/>
    <w:pPr>
      <w:spacing w:after="0" w:line="240" w:lineRule="auto"/>
    </w:pPr>
  </w:style>
  <w:style w:type="paragraph" w:styleId="Topptekst">
    <w:name w:val="header"/>
    <w:basedOn w:val="Normal"/>
    <w:link w:val="TopptekstTegn"/>
    <w:uiPriority w:val="99"/>
    <w:unhideWhenUsed/>
    <w:rsid w:val="00D657D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657D6"/>
  </w:style>
  <w:style w:type="paragraph" w:styleId="Bunntekst">
    <w:name w:val="footer"/>
    <w:basedOn w:val="Normal"/>
    <w:link w:val="BunntekstTegn"/>
    <w:uiPriority w:val="99"/>
    <w:unhideWhenUsed/>
    <w:rsid w:val="00D657D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657D6"/>
  </w:style>
  <w:style w:type="paragraph" w:styleId="Fotnotetekst">
    <w:name w:val="footnote text"/>
    <w:basedOn w:val="Normal"/>
    <w:link w:val="FotnotetekstTegn"/>
    <w:uiPriority w:val="99"/>
    <w:semiHidden/>
    <w:unhideWhenUsed/>
    <w:rsid w:val="00F14BAC"/>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F14BAC"/>
    <w:rPr>
      <w:sz w:val="20"/>
      <w:szCs w:val="20"/>
    </w:rPr>
  </w:style>
  <w:style w:type="character" w:styleId="Fotnotereferanse">
    <w:name w:val="footnote reference"/>
    <w:basedOn w:val="Standardskriftforavsnitt"/>
    <w:uiPriority w:val="99"/>
    <w:semiHidden/>
    <w:unhideWhenUsed/>
    <w:rsid w:val="00F14BAC"/>
    <w:rPr>
      <w:vertAlign w:val="superscript"/>
    </w:rPr>
  </w:style>
  <w:style w:type="paragraph" w:styleId="Bobletekst">
    <w:name w:val="Balloon Text"/>
    <w:basedOn w:val="Normal"/>
    <w:link w:val="BobletekstTegn"/>
    <w:uiPriority w:val="99"/>
    <w:semiHidden/>
    <w:unhideWhenUsed/>
    <w:rsid w:val="0001662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16627"/>
    <w:rPr>
      <w:rFonts w:ascii="Segoe UI" w:hAnsi="Segoe UI" w:cs="Segoe UI"/>
      <w:sz w:val="18"/>
      <w:szCs w:val="18"/>
    </w:rPr>
  </w:style>
  <w:style w:type="paragraph" w:styleId="Sluttnotetekst">
    <w:name w:val="endnote text"/>
    <w:basedOn w:val="Normal"/>
    <w:link w:val="SluttnotetekstTegn"/>
    <w:uiPriority w:val="99"/>
    <w:semiHidden/>
    <w:unhideWhenUsed/>
    <w:rsid w:val="006E43FE"/>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6E43FE"/>
    <w:rPr>
      <w:sz w:val="20"/>
      <w:szCs w:val="20"/>
    </w:rPr>
  </w:style>
  <w:style w:type="character" w:styleId="Sluttnotereferanse">
    <w:name w:val="endnote reference"/>
    <w:basedOn w:val="Standardskriftforavsnitt"/>
    <w:uiPriority w:val="99"/>
    <w:semiHidden/>
    <w:unhideWhenUsed/>
    <w:rsid w:val="006E43FE"/>
    <w:rPr>
      <w:vertAlign w:val="superscript"/>
    </w:rPr>
  </w:style>
  <w:style w:type="paragraph" w:styleId="Listeavsnitt">
    <w:name w:val="List Paragraph"/>
    <w:basedOn w:val="Normal"/>
    <w:uiPriority w:val="34"/>
    <w:qFormat/>
    <w:rsid w:val="000B0398"/>
    <w:pPr>
      <w:spacing w:after="0" w:line="240" w:lineRule="auto"/>
      <w:ind w:left="720"/>
      <w:contextualSpacing/>
    </w:pPr>
    <w:rPr>
      <w:rFonts w:ascii="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291766">
      <w:bodyDiv w:val="1"/>
      <w:marLeft w:val="0"/>
      <w:marRight w:val="0"/>
      <w:marTop w:val="0"/>
      <w:marBottom w:val="0"/>
      <w:divBdr>
        <w:top w:val="none" w:sz="0" w:space="0" w:color="auto"/>
        <w:left w:val="none" w:sz="0" w:space="0" w:color="auto"/>
        <w:bottom w:val="none" w:sz="0" w:space="0" w:color="auto"/>
        <w:right w:val="none" w:sz="0" w:space="0" w:color="auto"/>
      </w:divBdr>
    </w:div>
    <w:div w:id="809399302">
      <w:bodyDiv w:val="1"/>
      <w:marLeft w:val="0"/>
      <w:marRight w:val="0"/>
      <w:marTop w:val="0"/>
      <w:marBottom w:val="0"/>
      <w:divBdr>
        <w:top w:val="none" w:sz="0" w:space="0" w:color="auto"/>
        <w:left w:val="none" w:sz="0" w:space="0" w:color="auto"/>
        <w:bottom w:val="none" w:sz="0" w:space="0" w:color="auto"/>
        <w:right w:val="none" w:sz="0" w:space="0" w:color="auto"/>
      </w:divBdr>
    </w:div>
    <w:div w:id="1059549762">
      <w:bodyDiv w:val="1"/>
      <w:marLeft w:val="0"/>
      <w:marRight w:val="0"/>
      <w:marTop w:val="0"/>
      <w:marBottom w:val="0"/>
      <w:divBdr>
        <w:top w:val="none" w:sz="0" w:space="0" w:color="auto"/>
        <w:left w:val="none" w:sz="0" w:space="0" w:color="auto"/>
        <w:bottom w:val="none" w:sz="0" w:space="0" w:color="auto"/>
        <w:right w:val="none" w:sz="0" w:space="0" w:color="auto"/>
      </w:divBdr>
    </w:div>
    <w:div w:id="1526603253">
      <w:bodyDiv w:val="1"/>
      <w:marLeft w:val="0"/>
      <w:marRight w:val="0"/>
      <w:marTop w:val="0"/>
      <w:marBottom w:val="0"/>
      <w:divBdr>
        <w:top w:val="none" w:sz="0" w:space="0" w:color="auto"/>
        <w:left w:val="none" w:sz="0" w:space="0" w:color="auto"/>
        <w:bottom w:val="none" w:sz="0" w:space="0" w:color="auto"/>
        <w:right w:val="none" w:sz="0" w:space="0" w:color="auto"/>
      </w:divBdr>
      <w:divsChild>
        <w:div w:id="21715730">
          <w:marLeft w:val="1080"/>
          <w:marRight w:val="0"/>
          <w:marTop w:val="100"/>
          <w:marBottom w:val="0"/>
          <w:divBdr>
            <w:top w:val="none" w:sz="0" w:space="0" w:color="auto"/>
            <w:left w:val="none" w:sz="0" w:space="0" w:color="auto"/>
            <w:bottom w:val="none" w:sz="0" w:space="0" w:color="auto"/>
            <w:right w:val="none" w:sz="0" w:space="0" w:color="auto"/>
          </w:divBdr>
        </w:div>
        <w:div w:id="512645341">
          <w:marLeft w:val="360"/>
          <w:marRight w:val="0"/>
          <w:marTop w:val="200"/>
          <w:marBottom w:val="0"/>
          <w:divBdr>
            <w:top w:val="none" w:sz="0" w:space="0" w:color="auto"/>
            <w:left w:val="none" w:sz="0" w:space="0" w:color="auto"/>
            <w:bottom w:val="none" w:sz="0" w:space="0" w:color="auto"/>
            <w:right w:val="none" w:sz="0" w:space="0" w:color="auto"/>
          </w:divBdr>
        </w:div>
        <w:div w:id="832797978">
          <w:marLeft w:val="1080"/>
          <w:marRight w:val="0"/>
          <w:marTop w:val="100"/>
          <w:marBottom w:val="0"/>
          <w:divBdr>
            <w:top w:val="none" w:sz="0" w:space="0" w:color="auto"/>
            <w:left w:val="none" w:sz="0" w:space="0" w:color="auto"/>
            <w:bottom w:val="none" w:sz="0" w:space="0" w:color="auto"/>
            <w:right w:val="none" w:sz="0" w:space="0" w:color="auto"/>
          </w:divBdr>
        </w:div>
        <w:div w:id="876431901">
          <w:marLeft w:val="1080"/>
          <w:marRight w:val="0"/>
          <w:marTop w:val="100"/>
          <w:marBottom w:val="0"/>
          <w:divBdr>
            <w:top w:val="none" w:sz="0" w:space="0" w:color="auto"/>
            <w:left w:val="none" w:sz="0" w:space="0" w:color="auto"/>
            <w:bottom w:val="none" w:sz="0" w:space="0" w:color="auto"/>
            <w:right w:val="none" w:sz="0" w:space="0" w:color="auto"/>
          </w:divBdr>
        </w:div>
        <w:div w:id="894465789">
          <w:marLeft w:val="1080"/>
          <w:marRight w:val="0"/>
          <w:marTop w:val="100"/>
          <w:marBottom w:val="0"/>
          <w:divBdr>
            <w:top w:val="none" w:sz="0" w:space="0" w:color="auto"/>
            <w:left w:val="none" w:sz="0" w:space="0" w:color="auto"/>
            <w:bottom w:val="none" w:sz="0" w:space="0" w:color="auto"/>
            <w:right w:val="none" w:sz="0" w:space="0" w:color="auto"/>
          </w:divBdr>
        </w:div>
        <w:div w:id="1794447762">
          <w:marLeft w:val="360"/>
          <w:marRight w:val="0"/>
          <w:marTop w:val="200"/>
          <w:marBottom w:val="0"/>
          <w:divBdr>
            <w:top w:val="none" w:sz="0" w:space="0" w:color="auto"/>
            <w:left w:val="none" w:sz="0" w:space="0" w:color="auto"/>
            <w:bottom w:val="none" w:sz="0" w:space="0" w:color="auto"/>
            <w:right w:val="none" w:sz="0" w:space="0" w:color="auto"/>
          </w:divBdr>
        </w:div>
        <w:div w:id="2078822627">
          <w:marLeft w:val="1080"/>
          <w:marRight w:val="0"/>
          <w:marTop w:val="100"/>
          <w:marBottom w:val="0"/>
          <w:divBdr>
            <w:top w:val="none" w:sz="0" w:space="0" w:color="auto"/>
            <w:left w:val="none" w:sz="0" w:space="0" w:color="auto"/>
            <w:bottom w:val="none" w:sz="0" w:space="0" w:color="auto"/>
            <w:right w:val="none" w:sz="0" w:space="0" w:color="auto"/>
          </w:divBdr>
        </w:div>
      </w:divsChild>
    </w:div>
    <w:div w:id="1978994023">
      <w:bodyDiv w:val="1"/>
      <w:marLeft w:val="0"/>
      <w:marRight w:val="0"/>
      <w:marTop w:val="0"/>
      <w:marBottom w:val="0"/>
      <w:divBdr>
        <w:top w:val="none" w:sz="0" w:space="0" w:color="auto"/>
        <w:left w:val="none" w:sz="0" w:space="0" w:color="auto"/>
        <w:bottom w:val="none" w:sz="0" w:space="0" w:color="auto"/>
        <w:right w:val="none" w:sz="0" w:space="0" w:color="auto"/>
      </w:divBdr>
    </w:div>
    <w:div w:id="209427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17" ma:contentTypeDescription="Opprett et nytt dokument." ma:contentTypeScope="" ma:versionID="568bd1b3e329acec134d6a0d883a1cbf">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0dcebc025f73aa73bca700a57a989c49"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documentManagement>
</p:properties>
</file>

<file path=customXml/itemProps1.xml><?xml version="1.0" encoding="utf-8"?>
<ds:datastoreItem xmlns:ds="http://schemas.openxmlformats.org/officeDocument/2006/customXml" ds:itemID="{65591F14-44F1-4A9A-9D69-D80CDFB55407}">
  <ds:schemaRefs>
    <ds:schemaRef ds:uri="http://schemas.microsoft.com/sharepoint/v3/contenttype/forms"/>
  </ds:schemaRefs>
</ds:datastoreItem>
</file>

<file path=customXml/itemProps2.xml><?xml version="1.0" encoding="utf-8"?>
<ds:datastoreItem xmlns:ds="http://schemas.openxmlformats.org/officeDocument/2006/customXml" ds:itemID="{29B5CF73-CC14-4F55-9D86-852BE58B1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54FBDF-F58D-4D07-B60F-A5EFA8F67764}">
  <ds:schemaRefs>
    <ds:schemaRef ds:uri="http://schemas.openxmlformats.org/officeDocument/2006/bibliography"/>
  </ds:schemaRefs>
</ds:datastoreItem>
</file>

<file path=customXml/itemProps4.xml><?xml version="1.0" encoding="utf-8"?>
<ds:datastoreItem xmlns:ds="http://schemas.openxmlformats.org/officeDocument/2006/customXml" ds:itemID="{F4EE0A1C-76E5-48F8-BA2F-E22CD22456E4}">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900</Words>
  <Characters>4771</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Therese Larsen</dc:creator>
  <cp:keywords/>
  <dc:description/>
  <cp:lastModifiedBy>Berit Therese Larsen</cp:lastModifiedBy>
  <cp:revision>57</cp:revision>
  <dcterms:created xsi:type="dcterms:W3CDTF">2021-10-19T12:24:00Z</dcterms:created>
  <dcterms:modified xsi:type="dcterms:W3CDTF">2021-10-20T11:26:00Z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ies>
</file>