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4CC15" w14:textId="77777777" w:rsidR="00603CF3" w:rsidRDefault="00603CF3" w:rsidP="00F5658A">
      <w:pPr>
        <w:tabs>
          <w:tab w:val="left" w:pos="5940"/>
        </w:tabs>
        <w:rPr>
          <w:sz w:val="20"/>
          <w:szCs w:val="20"/>
        </w:rPr>
      </w:pPr>
    </w:p>
    <w:p w14:paraId="237617B9" w14:textId="77777777" w:rsidR="00603CF3" w:rsidRDefault="00603CF3" w:rsidP="00F5658A">
      <w:pPr>
        <w:tabs>
          <w:tab w:val="left" w:pos="5940"/>
        </w:tabs>
        <w:rPr>
          <w:sz w:val="20"/>
          <w:szCs w:val="20"/>
        </w:rPr>
      </w:pPr>
    </w:p>
    <w:p w14:paraId="0478E2BC"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3843"/>
      </w:tblGrid>
      <w:tr w:rsidR="006F3C67" w14:paraId="6D7671D9" w14:textId="77777777" w:rsidTr="003F5B27">
        <w:tc>
          <w:tcPr>
            <w:tcW w:w="5655" w:type="dxa"/>
          </w:tcPr>
          <w:p w14:paraId="2C9F0790" w14:textId="77777777" w:rsidR="00A02294" w:rsidRDefault="00A02294" w:rsidP="00A61573">
            <w:pPr>
              <w:tabs>
                <w:tab w:val="left" w:pos="5670"/>
              </w:tabs>
              <w:rPr>
                <w:sz w:val="22"/>
              </w:rPr>
            </w:pPr>
          </w:p>
          <w:p w14:paraId="6BF1DACE" w14:textId="77777777" w:rsidR="006F3C67" w:rsidRPr="00261C69" w:rsidRDefault="00B94232" w:rsidP="00A61573">
            <w:pPr>
              <w:tabs>
                <w:tab w:val="left" w:pos="5670"/>
              </w:tabs>
              <w:rPr>
                <w:sz w:val="22"/>
              </w:rPr>
            </w:pPr>
            <w:r>
              <w:rPr>
                <w:sz w:val="22"/>
              </w:rPr>
              <w:t>Justis- og beredskapsdepartementet</w:t>
            </w:r>
          </w:p>
        </w:tc>
        <w:tc>
          <w:tcPr>
            <w:tcW w:w="3843" w:type="dxa"/>
          </w:tcPr>
          <w:p w14:paraId="3863F338" w14:textId="77777777" w:rsidR="006F3C67" w:rsidRPr="00261C69" w:rsidRDefault="006F3C67" w:rsidP="006F3C67">
            <w:pPr>
              <w:tabs>
                <w:tab w:val="left" w:pos="5670"/>
              </w:tabs>
              <w:rPr>
                <w:sz w:val="20"/>
              </w:rPr>
            </w:pPr>
          </w:p>
        </w:tc>
      </w:tr>
      <w:tr w:rsidR="003F5B27" w14:paraId="385EB948" w14:textId="77777777" w:rsidTr="003F5B27">
        <w:tc>
          <w:tcPr>
            <w:tcW w:w="5655" w:type="dxa"/>
          </w:tcPr>
          <w:p w14:paraId="73FA8F1C" w14:textId="06D70CE5" w:rsidR="003F5B27" w:rsidRPr="003455BD" w:rsidRDefault="003F5B27" w:rsidP="003F5B27">
            <w:pPr>
              <w:rPr>
                <w:sz w:val="22"/>
                <w:szCs w:val="22"/>
              </w:rPr>
            </w:pPr>
          </w:p>
        </w:tc>
        <w:tc>
          <w:tcPr>
            <w:tcW w:w="3843" w:type="dxa"/>
          </w:tcPr>
          <w:p w14:paraId="6E5119FC" w14:textId="77777777" w:rsidR="003F5B27" w:rsidRPr="00261C69" w:rsidRDefault="003F5B27" w:rsidP="003F5B27">
            <w:pPr>
              <w:tabs>
                <w:tab w:val="left" w:pos="5670"/>
              </w:tabs>
              <w:rPr>
                <w:sz w:val="20"/>
              </w:rPr>
            </w:pPr>
          </w:p>
        </w:tc>
      </w:tr>
      <w:tr w:rsidR="003F5B27" w14:paraId="34B04C14" w14:textId="77777777" w:rsidTr="003F5B27">
        <w:tc>
          <w:tcPr>
            <w:tcW w:w="5655" w:type="dxa"/>
          </w:tcPr>
          <w:p w14:paraId="24F6C5D1" w14:textId="77777777" w:rsidR="003F5B27" w:rsidRDefault="003F5B27" w:rsidP="003F5B27"/>
        </w:tc>
        <w:tc>
          <w:tcPr>
            <w:tcW w:w="3843" w:type="dxa"/>
          </w:tcPr>
          <w:p w14:paraId="2A0FA16B" w14:textId="77777777" w:rsidR="003F5B27" w:rsidRPr="00261C69" w:rsidRDefault="003F5B27" w:rsidP="003F5B27">
            <w:pPr>
              <w:tabs>
                <w:tab w:val="left" w:pos="5670"/>
              </w:tabs>
              <w:rPr>
                <w:sz w:val="20"/>
              </w:rPr>
            </w:pPr>
          </w:p>
        </w:tc>
      </w:tr>
      <w:tr w:rsidR="00D1000A" w14:paraId="334D3508" w14:textId="77777777" w:rsidTr="003F5B27">
        <w:tc>
          <w:tcPr>
            <w:tcW w:w="5655" w:type="dxa"/>
          </w:tcPr>
          <w:p w14:paraId="6A637CAC" w14:textId="77777777" w:rsidR="00D1000A" w:rsidRPr="00261C69" w:rsidRDefault="00D1000A" w:rsidP="0052795C">
            <w:pPr>
              <w:tabs>
                <w:tab w:val="left" w:pos="5670"/>
              </w:tabs>
              <w:rPr>
                <w:sz w:val="22"/>
              </w:rPr>
            </w:pPr>
          </w:p>
        </w:tc>
        <w:tc>
          <w:tcPr>
            <w:tcW w:w="3843" w:type="dxa"/>
          </w:tcPr>
          <w:p w14:paraId="05B2B16C" w14:textId="77777777" w:rsidR="00D1000A" w:rsidRPr="00261C69" w:rsidRDefault="00D1000A" w:rsidP="00DF10C1">
            <w:pPr>
              <w:tabs>
                <w:tab w:val="left" w:pos="5670"/>
              </w:tabs>
              <w:rPr>
                <w:sz w:val="20"/>
                <w:szCs w:val="22"/>
              </w:rPr>
            </w:pPr>
          </w:p>
        </w:tc>
      </w:tr>
      <w:tr w:rsidR="000A6465" w14:paraId="6921988D" w14:textId="77777777" w:rsidTr="003F5B27">
        <w:tc>
          <w:tcPr>
            <w:tcW w:w="5655" w:type="dxa"/>
          </w:tcPr>
          <w:p w14:paraId="33F8419C" w14:textId="77777777" w:rsidR="000A6465" w:rsidRPr="00EA1110" w:rsidRDefault="000A6465" w:rsidP="000A6465">
            <w:pPr>
              <w:tabs>
                <w:tab w:val="left" w:pos="5670"/>
              </w:tabs>
              <w:rPr>
                <w:sz w:val="12"/>
                <w:szCs w:val="22"/>
              </w:rPr>
            </w:pPr>
          </w:p>
        </w:tc>
        <w:tc>
          <w:tcPr>
            <w:tcW w:w="3843" w:type="dxa"/>
          </w:tcPr>
          <w:p w14:paraId="55F9BF02" w14:textId="6EDEA79A" w:rsidR="000A6465" w:rsidRPr="00261C69" w:rsidRDefault="000A6465" w:rsidP="003F5B27">
            <w:pPr>
              <w:tabs>
                <w:tab w:val="left" w:pos="5670"/>
              </w:tabs>
              <w:rPr>
                <w:sz w:val="20"/>
              </w:rPr>
            </w:pPr>
            <w:r w:rsidRPr="00261C69">
              <w:rPr>
                <w:sz w:val="20"/>
                <w:szCs w:val="22"/>
              </w:rPr>
              <w:t xml:space="preserve">Vår fil: </w:t>
            </w:r>
            <w:r w:rsidR="002A28EA">
              <w:rPr>
                <w:sz w:val="20"/>
                <w:szCs w:val="22"/>
              </w:rPr>
              <w:t>B16-HSR00</w:t>
            </w:r>
            <w:r w:rsidR="008F09D1">
              <w:rPr>
                <w:sz w:val="20"/>
                <w:szCs w:val="22"/>
              </w:rPr>
              <w:t>2</w:t>
            </w:r>
          </w:p>
        </w:tc>
      </w:tr>
      <w:tr w:rsidR="000A6465" w14:paraId="596FDBFC" w14:textId="77777777" w:rsidTr="003F5B27">
        <w:tc>
          <w:tcPr>
            <w:tcW w:w="5655" w:type="dxa"/>
          </w:tcPr>
          <w:p w14:paraId="48E6377B" w14:textId="77777777" w:rsidR="000A6465" w:rsidRPr="00261C69" w:rsidRDefault="000A6465" w:rsidP="000A6465">
            <w:pPr>
              <w:tabs>
                <w:tab w:val="left" w:pos="5670"/>
              </w:tabs>
              <w:rPr>
                <w:sz w:val="22"/>
                <w:szCs w:val="22"/>
              </w:rPr>
            </w:pPr>
          </w:p>
        </w:tc>
        <w:tc>
          <w:tcPr>
            <w:tcW w:w="3843" w:type="dxa"/>
          </w:tcPr>
          <w:p w14:paraId="42EB56DB" w14:textId="77777777" w:rsidR="000A6465" w:rsidRPr="00261C69" w:rsidRDefault="000A6465" w:rsidP="000A6465">
            <w:pPr>
              <w:tabs>
                <w:tab w:val="left" w:pos="5670"/>
              </w:tabs>
              <w:rPr>
                <w:sz w:val="20"/>
              </w:rPr>
            </w:pPr>
            <w:r w:rsidRPr="00261C69">
              <w:rPr>
                <w:sz w:val="20"/>
                <w:szCs w:val="22"/>
              </w:rPr>
              <w:t xml:space="preserve">Vårt Arkiv: </w:t>
            </w:r>
            <w:r w:rsidR="00B16A96">
              <w:rPr>
                <w:sz w:val="20"/>
                <w:szCs w:val="22"/>
              </w:rPr>
              <w:t>401</w:t>
            </w:r>
          </w:p>
        </w:tc>
      </w:tr>
      <w:tr w:rsidR="000A6465" w14:paraId="5C6A664C" w14:textId="77777777" w:rsidTr="003F5B27">
        <w:tc>
          <w:tcPr>
            <w:tcW w:w="5655" w:type="dxa"/>
          </w:tcPr>
          <w:p w14:paraId="335736E1" w14:textId="77777777" w:rsidR="000A6465" w:rsidRPr="00261C69" w:rsidRDefault="000A6465" w:rsidP="000A6465">
            <w:pPr>
              <w:tabs>
                <w:tab w:val="left" w:pos="5670"/>
              </w:tabs>
              <w:rPr>
                <w:sz w:val="22"/>
                <w:szCs w:val="22"/>
              </w:rPr>
            </w:pPr>
          </w:p>
        </w:tc>
        <w:tc>
          <w:tcPr>
            <w:tcW w:w="3843" w:type="dxa"/>
          </w:tcPr>
          <w:p w14:paraId="33E11188" w14:textId="77777777" w:rsidR="000A6465" w:rsidRPr="00261C69" w:rsidRDefault="000A6465" w:rsidP="002A28EA">
            <w:pPr>
              <w:tabs>
                <w:tab w:val="left" w:pos="5670"/>
              </w:tabs>
              <w:rPr>
                <w:sz w:val="20"/>
                <w:szCs w:val="22"/>
              </w:rPr>
            </w:pPr>
            <w:r w:rsidRPr="00261C69">
              <w:rPr>
                <w:sz w:val="20"/>
                <w:szCs w:val="22"/>
              </w:rPr>
              <w:t xml:space="preserve">Saksbehandler: </w:t>
            </w:r>
            <w:r w:rsidR="00ED017D">
              <w:rPr>
                <w:sz w:val="20"/>
                <w:szCs w:val="22"/>
              </w:rPr>
              <w:t>HSR</w:t>
            </w:r>
          </w:p>
        </w:tc>
      </w:tr>
    </w:tbl>
    <w:p w14:paraId="78E34DEB" w14:textId="77777777" w:rsidR="00603CF3" w:rsidRDefault="00B111A2" w:rsidP="00B111A2">
      <w:pPr>
        <w:tabs>
          <w:tab w:val="left" w:pos="1020"/>
        </w:tabs>
        <w:rPr>
          <w:sz w:val="20"/>
          <w:szCs w:val="20"/>
        </w:rPr>
      </w:pPr>
      <w:r>
        <w:rPr>
          <w:sz w:val="20"/>
          <w:szCs w:val="20"/>
        </w:rPr>
        <w:tab/>
      </w:r>
    </w:p>
    <w:p w14:paraId="4331282E" w14:textId="0E2745D4" w:rsidR="0056171C" w:rsidRDefault="0056171C" w:rsidP="000A6465">
      <w:pPr>
        <w:tabs>
          <w:tab w:val="left" w:pos="5812"/>
        </w:tabs>
        <w:ind w:firstLine="708"/>
        <w:rPr>
          <w:sz w:val="22"/>
          <w:szCs w:val="22"/>
        </w:rPr>
      </w:pPr>
      <w:bookmarkStart w:id="0" w:name="Bm_Dato2"/>
      <w:r>
        <w:rPr>
          <w:sz w:val="22"/>
          <w:szCs w:val="22"/>
        </w:rPr>
        <w:tab/>
      </w:r>
      <w:bookmarkStart w:id="1" w:name="Bm_Dato"/>
      <w:r w:rsidRPr="008F09D1">
        <w:rPr>
          <w:sz w:val="22"/>
          <w:szCs w:val="22"/>
        </w:rPr>
        <w:t xml:space="preserve">Oslo </w:t>
      </w:r>
      <w:bookmarkEnd w:id="0"/>
      <w:bookmarkEnd w:id="1"/>
      <w:r w:rsidR="008F09D1" w:rsidRPr="008F09D1">
        <w:rPr>
          <w:sz w:val="22"/>
          <w:szCs w:val="22"/>
        </w:rPr>
        <w:t>1. juli</w:t>
      </w:r>
      <w:r w:rsidR="00ED017D" w:rsidRPr="008F09D1">
        <w:rPr>
          <w:sz w:val="22"/>
          <w:szCs w:val="22"/>
        </w:rPr>
        <w:t xml:space="preserve"> 2016</w:t>
      </w:r>
    </w:p>
    <w:p w14:paraId="4FDF57A2" w14:textId="77777777" w:rsidR="0056171C" w:rsidRPr="00EA1110" w:rsidRDefault="0056171C" w:rsidP="0056171C">
      <w:pPr>
        <w:tabs>
          <w:tab w:val="left" w:pos="5670"/>
        </w:tabs>
        <w:ind w:firstLine="708"/>
        <w:rPr>
          <w:sz w:val="12"/>
        </w:rPr>
      </w:pPr>
    </w:p>
    <w:p w14:paraId="4631C368" w14:textId="77777777" w:rsidR="00A02294" w:rsidRDefault="00A02294" w:rsidP="000603A7">
      <w:pPr>
        <w:rPr>
          <w:rFonts w:cs="Arial"/>
          <w:b/>
          <w:bCs/>
          <w:kern w:val="32"/>
          <w:sz w:val="32"/>
          <w:szCs w:val="32"/>
        </w:rPr>
      </w:pPr>
      <w:bookmarkStart w:id="2" w:name="Bm_Start"/>
    </w:p>
    <w:p w14:paraId="7E2259A6" w14:textId="77777777" w:rsidR="00A02294" w:rsidRDefault="00A02294" w:rsidP="000603A7">
      <w:pPr>
        <w:rPr>
          <w:rFonts w:cs="Arial"/>
          <w:b/>
          <w:bCs/>
          <w:kern w:val="32"/>
          <w:sz w:val="32"/>
          <w:szCs w:val="32"/>
        </w:rPr>
      </w:pPr>
    </w:p>
    <w:p w14:paraId="06D63297" w14:textId="77777777" w:rsidR="00A02294" w:rsidRDefault="00A02294" w:rsidP="000603A7">
      <w:pPr>
        <w:rPr>
          <w:rFonts w:cs="Arial"/>
          <w:b/>
          <w:bCs/>
          <w:kern w:val="32"/>
          <w:sz w:val="32"/>
          <w:szCs w:val="32"/>
        </w:rPr>
      </w:pPr>
    </w:p>
    <w:p w14:paraId="625F72F1" w14:textId="77777777" w:rsidR="000603A7" w:rsidRDefault="003F5B27" w:rsidP="000603A7">
      <w:pPr>
        <w:rPr>
          <w:rFonts w:cs="Arial"/>
          <w:b/>
          <w:bCs/>
          <w:kern w:val="32"/>
          <w:sz w:val="32"/>
          <w:szCs w:val="32"/>
        </w:rPr>
      </w:pPr>
      <w:r>
        <w:rPr>
          <w:rFonts w:cs="Arial"/>
          <w:b/>
          <w:bCs/>
          <w:kern w:val="32"/>
          <w:sz w:val="32"/>
          <w:szCs w:val="32"/>
        </w:rPr>
        <w:t xml:space="preserve">Høring – </w:t>
      </w:r>
      <w:r w:rsidR="00ED017D">
        <w:rPr>
          <w:rFonts w:cs="Arial"/>
          <w:b/>
          <w:bCs/>
          <w:kern w:val="32"/>
          <w:sz w:val="32"/>
          <w:szCs w:val="32"/>
        </w:rPr>
        <w:t xml:space="preserve">forslag til endringer i rettshjelploven, </w:t>
      </w:r>
      <w:proofErr w:type="spellStart"/>
      <w:r w:rsidR="00ED017D">
        <w:rPr>
          <w:rFonts w:cs="Arial"/>
          <w:b/>
          <w:bCs/>
          <w:kern w:val="32"/>
          <w:sz w:val="32"/>
          <w:szCs w:val="32"/>
        </w:rPr>
        <w:t>rettshjelpforskriften</w:t>
      </w:r>
      <w:proofErr w:type="spellEnd"/>
      <w:r w:rsidR="00ED017D">
        <w:rPr>
          <w:rFonts w:cs="Arial"/>
          <w:b/>
          <w:bCs/>
          <w:kern w:val="32"/>
          <w:sz w:val="32"/>
          <w:szCs w:val="32"/>
        </w:rPr>
        <w:t xml:space="preserve"> og stykkprisforskriften</w:t>
      </w:r>
    </w:p>
    <w:bookmarkEnd w:id="2"/>
    <w:p w14:paraId="02C96836" w14:textId="77777777" w:rsidR="00603CF3" w:rsidRDefault="00603CF3" w:rsidP="00B72F35"/>
    <w:p w14:paraId="03AF9F3C" w14:textId="77777777" w:rsidR="00CD24F1" w:rsidRPr="00903FEB" w:rsidRDefault="00570E76" w:rsidP="00B72F35">
      <w:pPr>
        <w:rPr>
          <w:sz w:val="22"/>
          <w:szCs w:val="22"/>
        </w:rPr>
      </w:pPr>
      <w:r>
        <w:rPr>
          <w:sz w:val="22"/>
          <w:szCs w:val="22"/>
        </w:rPr>
        <w:t>Funksjonshemmedes Fellesorganisasjon</w:t>
      </w:r>
      <w:r w:rsidR="003455BD">
        <w:rPr>
          <w:sz w:val="22"/>
          <w:szCs w:val="22"/>
        </w:rPr>
        <w:t xml:space="preserve"> (</w:t>
      </w:r>
      <w:r>
        <w:rPr>
          <w:sz w:val="22"/>
          <w:szCs w:val="22"/>
        </w:rPr>
        <w:t>FFO</w:t>
      </w:r>
      <w:r w:rsidR="003455BD">
        <w:rPr>
          <w:sz w:val="22"/>
          <w:szCs w:val="22"/>
        </w:rPr>
        <w:t>)</w:t>
      </w:r>
      <w:r>
        <w:rPr>
          <w:sz w:val="22"/>
          <w:szCs w:val="22"/>
        </w:rPr>
        <w:t xml:space="preserve"> </w:t>
      </w:r>
      <w:r w:rsidR="00CD24F1" w:rsidRPr="00CD24F1">
        <w:rPr>
          <w:sz w:val="22"/>
          <w:szCs w:val="22"/>
        </w:rPr>
        <w:t xml:space="preserve">viser til høring </w:t>
      </w:r>
      <w:r w:rsidR="00CD24F1">
        <w:rPr>
          <w:sz w:val="22"/>
          <w:szCs w:val="22"/>
        </w:rPr>
        <w:t xml:space="preserve">fra </w:t>
      </w:r>
      <w:r w:rsidR="00ED017D">
        <w:rPr>
          <w:sz w:val="22"/>
          <w:szCs w:val="22"/>
        </w:rPr>
        <w:t>Justis- og beredskapsdepartementet</w:t>
      </w:r>
      <w:r w:rsidR="00CD24F1">
        <w:rPr>
          <w:sz w:val="22"/>
          <w:szCs w:val="22"/>
        </w:rPr>
        <w:t xml:space="preserve"> om </w:t>
      </w:r>
      <w:r>
        <w:rPr>
          <w:sz w:val="22"/>
          <w:szCs w:val="22"/>
        </w:rPr>
        <w:t xml:space="preserve">forslag til </w:t>
      </w:r>
      <w:r w:rsidR="00ED017D">
        <w:rPr>
          <w:sz w:val="22"/>
          <w:szCs w:val="22"/>
        </w:rPr>
        <w:t xml:space="preserve">endringer i rettshjelploven, </w:t>
      </w:r>
      <w:proofErr w:type="spellStart"/>
      <w:r w:rsidR="00ED017D">
        <w:rPr>
          <w:sz w:val="22"/>
          <w:szCs w:val="22"/>
        </w:rPr>
        <w:t>rettshjelpforskriften</w:t>
      </w:r>
      <w:proofErr w:type="spellEnd"/>
      <w:r w:rsidR="00ED017D">
        <w:rPr>
          <w:sz w:val="22"/>
          <w:szCs w:val="22"/>
        </w:rPr>
        <w:t xml:space="preserve"> og </w:t>
      </w:r>
      <w:r w:rsidR="001C075E">
        <w:rPr>
          <w:sz w:val="22"/>
          <w:szCs w:val="22"/>
        </w:rPr>
        <w:t>stykkprisforskriften</w:t>
      </w:r>
    </w:p>
    <w:p w14:paraId="037C7C72" w14:textId="77777777" w:rsidR="003455BD" w:rsidRPr="00903FEB" w:rsidRDefault="003455BD" w:rsidP="00B72F35">
      <w:pPr>
        <w:rPr>
          <w:sz w:val="22"/>
          <w:szCs w:val="22"/>
        </w:rPr>
      </w:pPr>
    </w:p>
    <w:p w14:paraId="59BEDBFF" w14:textId="77777777" w:rsidR="00007279" w:rsidRDefault="00570E76" w:rsidP="00570E76">
      <w:pPr>
        <w:rPr>
          <w:sz w:val="22"/>
          <w:szCs w:val="22"/>
        </w:rPr>
      </w:pPr>
      <w:r w:rsidRPr="00903FEB">
        <w:rPr>
          <w:sz w:val="22"/>
          <w:szCs w:val="22"/>
        </w:rPr>
        <w:t xml:space="preserve">FFO er en paraplyorganisasjon for 80 organisasjoner av funksjonshemmede og kronisk syke som har mer enn 335 000 medlemmer. </w:t>
      </w:r>
      <w:proofErr w:type="spellStart"/>
      <w:r w:rsidRPr="00903FEB">
        <w:rPr>
          <w:sz w:val="22"/>
          <w:szCs w:val="22"/>
        </w:rPr>
        <w:t>FFOs</w:t>
      </w:r>
      <w:proofErr w:type="spellEnd"/>
      <w:r w:rsidRPr="00903FEB">
        <w:rPr>
          <w:sz w:val="22"/>
          <w:szCs w:val="22"/>
        </w:rPr>
        <w:t xml:space="preserve"> overordnede mål er samfunnsmessig likestilling og deltakelse for funksjonshemmede</w:t>
      </w:r>
      <w:r w:rsidR="00007279" w:rsidRPr="00903FEB">
        <w:rPr>
          <w:sz w:val="22"/>
          <w:szCs w:val="22"/>
        </w:rPr>
        <w:t>.</w:t>
      </w:r>
    </w:p>
    <w:p w14:paraId="0A0AB83C" w14:textId="77777777" w:rsidR="00C57E04" w:rsidRDefault="00C57E04" w:rsidP="00570E76">
      <w:pPr>
        <w:rPr>
          <w:sz w:val="22"/>
          <w:szCs w:val="22"/>
        </w:rPr>
      </w:pPr>
    </w:p>
    <w:p w14:paraId="584A8646" w14:textId="77777777" w:rsidR="00C57E04" w:rsidRDefault="00C57E04" w:rsidP="00570E76">
      <w:pPr>
        <w:rPr>
          <w:sz w:val="22"/>
          <w:szCs w:val="22"/>
        </w:rPr>
      </w:pPr>
      <w:r>
        <w:rPr>
          <w:sz w:val="22"/>
          <w:szCs w:val="22"/>
        </w:rPr>
        <w:t xml:space="preserve">Departementet skriver i høringsbrevet at hensikten med endringene som foreslås er å gjøre rettshjelploven mer treffsikker slik at det er de rette sakstyper og personer som gis hjelp. </w:t>
      </w:r>
      <w:r w:rsidR="00A2672C">
        <w:rPr>
          <w:sz w:val="22"/>
          <w:szCs w:val="22"/>
        </w:rPr>
        <w:t xml:space="preserve">Departementet skriver også at befolkningens behov for rettshjelp ikke er statisk, og at det er viktig og nødvendig å gjennomgå rettshjelpsordningen med jevne mellomrom, </w:t>
      </w:r>
      <w:r w:rsidR="001B2D06">
        <w:rPr>
          <w:sz w:val="22"/>
          <w:szCs w:val="22"/>
        </w:rPr>
        <w:t>også</w:t>
      </w:r>
      <w:r w:rsidR="006C195B">
        <w:rPr>
          <w:sz w:val="22"/>
          <w:szCs w:val="22"/>
        </w:rPr>
        <w:t xml:space="preserve"> </w:t>
      </w:r>
      <w:r w:rsidR="00A2672C">
        <w:rPr>
          <w:sz w:val="22"/>
          <w:szCs w:val="22"/>
        </w:rPr>
        <w:t xml:space="preserve">med tanke på om enkelte sakstyper ikke lenger </w:t>
      </w:r>
      <w:r w:rsidR="001B2D06">
        <w:rPr>
          <w:sz w:val="22"/>
          <w:szCs w:val="22"/>
        </w:rPr>
        <w:t>bør</w:t>
      </w:r>
      <w:r w:rsidR="00A2672C">
        <w:rPr>
          <w:sz w:val="22"/>
          <w:szCs w:val="22"/>
        </w:rPr>
        <w:t xml:space="preserve"> være representert. </w:t>
      </w:r>
      <w:r>
        <w:rPr>
          <w:sz w:val="22"/>
          <w:szCs w:val="22"/>
        </w:rPr>
        <w:t xml:space="preserve">FFO </w:t>
      </w:r>
      <w:r w:rsidR="006C195B">
        <w:rPr>
          <w:sz w:val="22"/>
          <w:szCs w:val="22"/>
        </w:rPr>
        <w:t>er enig i at</w:t>
      </w:r>
      <w:r w:rsidR="00A2672C">
        <w:rPr>
          <w:sz w:val="22"/>
          <w:szCs w:val="22"/>
        </w:rPr>
        <w:t xml:space="preserve"> </w:t>
      </w:r>
      <w:r>
        <w:rPr>
          <w:sz w:val="22"/>
          <w:szCs w:val="22"/>
        </w:rPr>
        <w:t>det er viktig med en treffsikker</w:t>
      </w:r>
      <w:r w:rsidR="00B66317">
        <w:rPr>
          <w:sz w:val="22"/>
          <w:szCs w:val="22"/>
        </w:rPr>
        <w:t xml:space="preserve"> </w:t>
      </w:r>
      <w:r w:rsidR="0062785C">
        <w:rPr>
          <w:sz w:val="22"/>
          <w:szCs w:val="22"/>
        </w:rPr>
        <w:t>rettshjelplov</w:t>
      </w:r>
      <w:r>
        <w:rPr>
          <w:sz w:val="22"/>
          <w:szCs w:val="22"/>
        </w:rPr>
        <w:t xml:space="preserve">, </w:t>
      </w:r>
      <w:r w:rsidR="00A2672C">
        <w:rPr>
          <w:sz w:val="22"/>
          <w:szCs w:val="22"/>
        </w:rPr>
        <w:t xml:space="preserve">og at det er behov for jevnlig å gå gjennom ordningen. Men vi mener også at det er behov for å gå gjennom ordningen for å se om det er </w:t>
      </w:r>
      <w:r w:rsidR="00A2672C">
        <w:rPr>
          <w:i/>
          <w:sz w:val="22"/>
          <w:szCs w:val="22"/>
        </w:rPr>
        <w:t xml:space="preserve">flere </w:t>
      </w:r>
      <w:r w:rsidR="00A2672C">
        <w:rPr>
          <w:sz w:val="22"/>
          <w:szCs w:val="22"/>
        </w:rPr>
        <w:t xml:space="preserve">sakstyper som bør komme inn under ordningen. </w:t>
      </w:r>
    </w:p>
    <w:p w14:paraId="3E0E1946" w14:textId="77777777" w:rsidR="0096792B" w:rsidRDefault="0096792B" w:rsidP="00570E76">
      <w:pPr>
        <w:rPr>
          <w:sz w:val="22"/>
          <w:szCs w:val="22"/>
        </w:rPr>
      </w:pPr>
    </w:p>
    <w:p w14:paraId="3DEC7735" w14:textId="77777777" w:rsidR="0096792B" w:rsidRPr="00903FEB" w:rsidRDefault="0096792B" w:rsidP="0096792B">
      <w:pPr>
        <w:rPr>
          <w:sz w:val="22"/>
          <w:szCs w:val="22"/>
        </w:rPr>
      </w:pPr>
      <w:r>
        <w:rPr>
          <w:sz w:val="22"/>
          <w:szCs w:val="22"/>
        </w:rPr>
        <w:t>Vi vil innledningsvis påpeke at t</w:t>
      </w:r>
      <w:r w:rsidRPr="0096792B">
        <w:rPr>
          <w:sz w:val="22"/>
          <w:szCs w:val="22"/>
        </w:rPr>
        <w:t>ilgang til rettssystemet er en sentral menneskerettighet, også for funksjonshemmede.</w:t>
      </w:r>
      <w:r>
        <w:rPr>
          <w:sz w:val="22"/>
          <w:szCs w:val="22"/>
        </w:rPr>
        <w:t xml:space="preserve"> </w:t>
      </w:r>
      <w:r w:rsidRPr="0096792B">
        <w:rPr>
          <w:sz w:val="22"/>
          <w:szCs w:val="22"/>
        </w:rPr>
        <w:t xml:space="preserve">FN-konvensjonen for mennesker med nedsatt funksjonsevne (CRPD) pålegger staten en rekke plikter. Vi vil i den forbindelse understreke </w:t>
      </w:r>
      <w:r>
        <w:rPr>
          <w:sz w:val="22"/>
          <w:szCs w:val="22"/>
        </w:rPr>
        <w:t xml:space="preserve">at </w:t>
      </w:r>
      <w:r w:rsidRPr="0096792B">
        <w:rPr>
          <w:sz w:val="22"/>
          <w:szCs w:val="22"/>
        </w:rPr>
        <w:t>Jus</w:t>
      </w:r>
      <w:r>
        <w:rPr>
          <w:sz w:val="22"/>
          <w:szCs w:val="22"/>
        </w:rPr>
        <w:t>tis- og beredskapsdepartementet har en</w:t>
      </w:r>
      <w:r w:rsidRPr="0096792B">
        <w:rPr>
          <w:sz w:val="22"/>
          <w:szCs w:val="22"/>
        </w:rPr>
        <w:t xml:space="preserve"> plikt til å implementere CRPD artikkel </w:t>
      </w:r>
      <w:r>
        <w:rPr>
          <w:sz w:val="22"/>
          <w:szCs w:val="22"/>
        </w:rPr>
        <w:t xml:space="preserve">13 om tilgang til rettssystemet. </w:t>
      </w:r>
    </w:p>
    <w:p w14:paraId="33A611DC" w14:textId="77777777" w:rsidR="00007279" w:rsidRPr="00903FEB" w:rsidRDefault="00007279" w:rsidP="00570E76">
      <w:pPr>
        <w:rPr>
          <w:sz w:val="22"/>
          <w:szCs w:val="22"/>
        </w:rPr>
      </w:pPr>
    </w:p>
    <w:p w14:paraId="0507E417" w14:textId="77777777" w:rsidR="00570E76" w:rsidRPr="00903FEB" w:rsidRDefault="00570E76" w:rsidP="00570E76">
      <w:pPr>
        <w:rPr>
          <w:sz w:val="22"/>
          <w:szCs w:val="22"/>
        </w:rPr>
      </w:pPr>
    </w:p>
    <w:p w14:paraId="1AC5FE8E" w14:textId="77777777" w:rsidR="00570E76" w:rsidRDefault="00570E76" w:rsidP="008E443D">
      <w:pPr>
        <w:rPr>
          <w:rFonts w:cs="Arial"/>
          <w:b/>
          <w:bCs/>
          <w:kern w:val="32"/>
        </w:rPr>
      </w:pPr>
      <w:proofErr w:type="spellStart"/>
      <w:r w:rsidRPr="00903FEB">
        <w:rPr>
          <w:rFonts w:cs="Arial"/>
          <w:b/>
          <w:bCs/>
          <w:kern w:val="32"/>
        </w:rPr>
        <w:t>FFOs</w:t>
      </w:r>
      <w:proofErr w:type="spellEnd"/>
      <w:r w:rsidRPr="00903FEB">
        <w:rPr>
          <w:rFonts w:cs="Arial"/>
          <w:b/>
          <w:bCs/>
          <w:kern w:val="32"/>
        </w:rPr>
        <w:t xml:space="preserve"> synspunkter</w:t>
      </w:r>
    </w:p>
    <w:p w14:paraId="38C349E7" w14:textId="77777777" w:rsidR="005B570F" w:rsidRPr="005B570F" w:rsidRDefault="005B570F" w:rsidP="001C075E">
      <w:pPr>
        <w:pStyle w:val="Listeavsnitt"/>
        <w:numPr>
          <w:ilvl w:val="0"/>
          <w:numId w:val="5"/>
        </w:numPr>
        <w:rPr>
          <w:rFonts w:ascii="Arial" w:eastAsia="Times New Roman" w:hAnsi="Arial" w:cs="Times New Roman"/>
          <w:lang w:eastAsia="nb-NO"/>
        </w:rPr>
      </w:pPr>
      <w:r w:rsidRPr="005B570F">
        <w:rPr>
          <w:rFonts w:ascii="Arial" w:eastAsia="Times New Roman" w:hAnsi="Arial" w:cs="Times New Roman"/>
          <w:lang w:eastAsia="nb-NO"/>
        </w:rPr>
        <w:t xml:space="preserve">FFO mener at egenandeler i behovsprøvde saker med fri sakførsel ikke må økes. </w:t>
      </w:r>
    </w:p>
    <w:p w14:paraId="36F7053A" w14:textId="77777777" w:rsidR="001C075E" w:rsidRPr="0096792B" w:rsidRDefault="00091F9D" w:rsidP="001C075E">
      <w:pPr>
        <w:pStyle w:val="Listeavsnitt"/>
        <w:numPr>
          <w:ilvl w:val="0"/>
          <w:numId w:val="5"/>
        </w:numPr>
        <w:rPr>
          <w:rFonts w:ascii="Arial" w:eastAsia="Times New Roman" w:hAnsi="Arial" w:cs="Times New Roman"/>
          <w:lang w:eastAsia="nb-NO"/>
        </w:rPr>
      </w:pPr>
      <w:r w:rsidRPr="00091F9D">
        <w:rPr>
          <w:rFonts w:ascii="Arial" w:eastAsia="Times New Roman" w:hAnsi="Arial" w:cs="Arial"/>
          <w:lang w:eastAsia="nb-NO"/>
        </w:rPr>
        <w:t xml:space="preserve"> </w:t>
      </w:r>
      <w:r w:rsidRPr="00091F9D">
        <w:rPr>
          <w:rFonts w:ascii="Arial" w:eastAsia="Times New Roman" w:hAnsi="Arial" w:cs="Times New Roman"/>
          <w:lang w:eastAsia="nb-NO"/>
        </w:rPr>
        <w:t>FFO mener at adgangen</w:t>
      </w:r>
      <w:r>
        <w:rPr>
          <w:rFonts w:ascii="Arial" w:eastAsia="Times New Roman" w:hAnsi="Arial" w:cs="Times New Roman"/>
          <w:lang w:eastAsia="nb-NO"/>
        </w:rPr>
        <w:t xml:space="preserve"> til å </w:t>
      </w:r>
      <w:r w:rsidRPr="00091F9D">
        <w:rPr>
          <w:rFonts w:ascii="Arial" w:eastAsia="Times New Roman" w:hAnsi="Arial" w:cs="Times New Roman"/>
          <w:lang w:eastAsia="nb-NO"/>
        </w:rPr>
        <w:t>dispens</w:t>
      </w:r>
      <w:r>
        <w:rPr>
          <w:rFonts w:ascii="Arial" w:eastAsia="Times New Roman" w:hAnsi="Arial" w:cs="Times New Roman"/>
          <w:lang w:eastAsia="nb-NO"/>
        </w:rPr>
        <w:t>ere fra de fastsatte inntektsgrenser</w:t>
      </w:r>
      <w:r w:rsidRPr="00091F9D">
        <w:rPr>
          <w:rFonts w:ascii="Arial" w:eastAsia="Times New Roman" w:hAnsi="Arial" w:cs="Times New Roman"/>
          <w:lang w:eastAsia="nb-NO"/>
        </w:rPr>
        <w:t xml:space="preserve"> fremdeles bør være skjønnsbasert</w:t>
      </w:r>
      <w:r>
        <w:rPr>
          <w:rFonts w:ascii="Arial" w:eastAsia="Times New Roman" w:hAnsi="Arial" w:cs="Times New Roman"/>
          <w:lang w:eastAsia="nb-NO"/>
        </w:rPr>
        <w:t>, men at praksisen må myknes opp.</w:t>
      </w:r>
    </w:p>
    <w:p w14:paraId="3D904189" w14:textId="77777777" w:rsidR="00D2190A" w:rsidRDefault="00D2190A" w:rsidP="00D2190A">
      <w:pPr>
        <w:pStyle w:val="Listeavsnitt"/>
        <w:numPr>
          <w:ilvl w:val="0"/>
          <w:numId w:val="5"/>
        </w:numPr>
        <w:rPr>
          <w:rFonts w:ascii="Arial" w:eastAsia="Times New Roman" w:hAnsi="Arial" w:cs="Times New Roman"/>
          <w:lang w:eastAsia="nb-NO"/>
        </w:rPr>
      </w:pPr>
      <w:r w:rsidRPr="0096792B">
        <w:rPr>
          <w:rFonts w:ascii="Arial" w:eastAsia="Times New Roman" w:hAnsi="Arial" w:cs="Times New Roman"/>
          <w:lang w:eastAsia="nb-NO"/>
        </w:rPr>
        <w:t>FFO mener rettshjelplovens saklige dekningsområde må utvides til å omfatte saker etter diskriminerings- og tilgjengelighetsloven, pasient- og brukerrettighetsloven, opplæringsloven og flere saker etter folketrygdloven</w:t>
      </w:r>
    </w:p>
    <w:p w14:paraId="622EF8D6" w14:textId="77777777" w:rsidR="00D2190A" w:rsidRPr="0096792B" w:rsidRDefault="00110B4E" w:rsidP="00D2190A">
      <w:pPr>
        <w:pStyle w:val="Listeavsnitt"/>
        <w:numPr>
          <w:ilvl w:val="0"/>
          <w:numId w:val="5"/>
        </w:numPr>
        <w:rPr>
          <w:rFonts w:ascii="Arial" w:eastAsia="Times New Roman" w:hAnsi="Arial" w:cs="Times New Roman"/>
          <w:lang w:eastAsia="nb-NO"/>
        </w:rPr>
      </w:pPr>
      <w:r>
        <w:rPr>
          <w:rFonts w:ascii="Arial" w:eastAsia="Times New Roman" w:hAnsi="Arial" w:cs="Times New Roman"/>
          <w:lang w:eastAsia="nb-NO"/>
        </w:rPr>
        <w:t>FFO mener inntektsgrensene for fri rettshjelp må heves</w:t>
      </w:r>
    </w:p>
    <w:p w14:paraId="3F0D224D" w14:textId="77777777" w:rsidR="001C075E" w:rsidRDefault="001C075E" w:rsidP="001C075E">
      <w:pPr>
        <w:rPr>
          <w:rFonts w:cs="Arial"/>
          <w:bCs/>
          <w:kern w:val="32"/>
        </w:rPr>
      </w:pPr>
    </w:p>
    <w:p w14:paraId="75E9C7C6" w14:textId="77777777" w:rsidR="001C075E" w:rsidRPr="001C075E" w:rsidRDefault="001C075E" w:rsidP="001C075E">
      <w:pPr>
        <w:rPr>
          <w:rFonts w:cs="Arial"/>
          <w:b/>
          <w:bCs/>
          <w:kern w:val="32"/>
        </w:rPr>
      </w:pPr>
      <w:r w:rsidRPr="001C075E">
        <w:rPr>
          <w:rFonts w:cs="Arial"/>
          <w:b/>
          <w:bCs/>
          <w:kern w:val="32"/>
        </w:rPr>
        <w:t>Endring av reglene om egenandel ved fri sakførsel i behovsprøvde saker</w:t>
      </w:r>
    </w:p>
    <w:p w14:paraId="24A1F509" w14:textId="76A121D8" w:rsidR="00867146" w:rsidRDefault="00867146" w:rsidP="00361942">
      <w:pPr>
        <w:rPr>
          <w:sz w:val="22"/>
          <w:szCs w:val="22"/>
        </w:rPr>
      </w:pPr>
      <w:r>
        <w:rPr>
          <w:sz w:val="22"/>
          <w:szCs w:val="22"/>
        </w:rPr>
        <w:t>Reglene om egenandel i saker som dekkes av ordningen med fri rettshjelp har vært uendret over en</w:t>
      </w:r>
      <w:r w:rsidR="005F00E7">
        <w:rPr>
          <w:sz w:val="22"/>
          <w:szCs w:val="22"/>
        </w:rPr>
        <w:t xml:space="preserve"> lenger periode</w:t>
      </w:r>
      <w:r>
        <w:rPr>
          <w:sz w:val="22"/>
          <w:szCs w:val="22"/>
        </w:rPr>
        <w:t xml:space="preserve"> med unntak av en periode på ett år i 2003-2004. </w:t>
      </w:r>
      <w:r w:rsidR="001B2D06">
        <w:rPr>
          <w:sz w:val="22"/>
          <w:szCs w:val="22"/>
        </w:rPr>
        <w:t>Stortingsmeldingen om offentlig rettshjelp</w:t>
      </w:r>
      <w:r w:rsidR="001B2D06">
        <w:rPr>
          <w:rStyle w:val="Fotnotereferanse"/>
          <w:sz w:val="22"/>
          <w:szCs w:val="22"/>
        </w:rPr>
        <w:footnoteReference w:id="2"/>
      </w:r>
      <w:r w:rsidR="001B2D06">
        <w:rPr>
          <w:sz w:val="22"/>
          <w:szCs w:val="22"/>
        </w:rPr>
        <w:t xml:space="preserve"> </w:t>
      </w:r>
      <w:r>
        <w:rPr>
          <w:sz w:val="22"/>
          <w:szCs w:val="22"/>
        </w:rPr>
        <w:t xml:space="preserve">viser til at </w:t>
      </w:r>
      <w:r w:rsidR="00BD1BA9">
        <w:rPr>
          <w:sz w:val="22"/>
          <w:szCs w:val="22"/>
        </w:rPr>
        <w:t>bortfall av egenandeler</w:t>
      </w:r>
      <w:r>
        <w:rPr>
          <w:sz w:val="22"/>
          <w:szCs w:val="22"/>
        </w:rPr>
        <w:t xml:space="preserve"> har gitt en økning i statlige utgifter på 25 % </w:t>
      </w:r>
      <w:r w:rsidR="00D41107">
        <w:rPr>
          <w:sz w:val="22"/>
          <w:szCs w:val="22"/>
        </w:rPr>
        <w:t xml:space="preserve">i denne perioden </w:t>
      </w:r>
      <w:r>
        <w:rPr>
          <w:sz w:val="22"/>
          <w:szCs w:val="22"/>
        </w:rPr>
        <w:t>i behovsprøvde saker under kapittel 470 i statsbudsjettet.</w:t>
      </w:r>
      <w:r w:rsidR="00CE37BC">
        <w:rPr>
          <w:sz w:val="22"/>
          <w:szCs w:val="22"/>
        </w:rPr>
        <w:t xml:space="preserve"> Denne statistikken</w:t>
      </w:r>
      <w:r>
        <w:rPr>
          <w:sz w:val="22"/>
          <w:szCs w:val="22"/>
        </w:rPr>
        <w:t xml:space="preserve"> indikerer at omfang</w:t>
      </w:r>
      <w:r w:rsidR="0042147B">
        <w:rPr>
          <w:sz w:val="22"/>
          <w:szCs w:val="22"/>
        </w:rPr>
        <w:t>et</w:t>
      </w:r>
      <w:r>
        <w:rPr>
          <w:sz w:val="22"/>
          <w:szCs w:val="22"/>
        </w:rPr>
        <w:t xml:space="preserve"> saker, som ble omfattet av fri rettshjelpsordning, ikke har økt noe betraktelig til tross for at rettshjelpen ble helt gratis for </w:t>
      </w:r>
      <w:r w:rsidR="002F757E">
        <w:rPr>
          <w:sz w:val="22"/>
          <w:szCs w:val="22"/>
        </w:rPr>
        <w:t>noen grupper over en lengre periode.</w:t>
      </w:r>
      <w:r w:rsidR="00992AE1">
        <w:rPr>
          <w:sz w:val="22"/>
          <w:szCs w:val="22"/>
        </w:rPr>
        <w:t xml:space="preserve"> Dette burde tilsi at man </w:t>
      </w:r>
      <w:r w:rsidR="00CE37BC">
        <w:rPr>
          <w:sz w:val="22"/>
          <w:szCs w:val="22"/>
        </w:rPr>
        <w:t xml:space="preserve">tar utgangspunkt i </w:t>
      </w:r>
      <w:r w:rsidR="002F757E">
        <w:rPr>
          <w:sz w:val="22"/>
          <w:szCs w:val="22"/>
        </w:rPr>
        <w:t xml:space="preserve">den inntekten som en søker har til disposisjon, der man </w:t>
      </w:r>
      <w:r w:rsidR="00F1400B">
        <w:rPr>
          <w:sz w:val="22"/>
          <w:szCs w:val="22"/>
        </w:rPr>
        <w:t>ser nærmere på muligheten for å innføre</w:t>
      </w:r>
      <w:r w:rsidR="002F757E">
        <w:rPr>
          <w:sz w:val="22"/>
          <w:szCs w:val="22"/>
        </w:rPr>
        <w:t xml:space="preserve"> graderte egenandeler, slik det ble foreslått </w:t>
      </w:r>
      <w:r w:rsidR="00BD1BA9">
        <w:rPr>
          <w:sz w:val="22"/>
          <w:szCs w:val="22"/>
        </w:rPr>
        <w:t xml:space="preserve">i </w:t>
      </w:r>
      <w:r w:rsidR="00992AE1">
        <w:rPr>
          <w:sz w:val="22"/>
          <w:szCs w:val="22"/>
        </w:rPr>
        <w:t>stortingsmeldingen</w:t>
      </w:r>
      <w:r w:rsidR="002F757E">
        <w:rPr>
          <w:sz w:val="22"/>
          <w:szCs w:val="22"/>
        </w:rPr>
        <w:t xml:space="preserve"> under pkt. 8.4.</w:t>
      </w:r>
    </w:p>
    <w:p w14:paraId="744228B7" w14:textId="77777777" w:rsidR="002F757E" w:rsidRDefault="002F757E" w:rsidP="00361942">
      <w:pPr>
        <w:rPr>
          <w:sz w:val="22"/>
          <w:szCs w:val="22"/>
        </w:rPr>
      </w:pPr>
    </w:p>
    <w:p w14:paraId="2920FB81" w14:textId="77777777" w:rsidR="002F757E" w:rsidRDefault="002F757E" w:rsidP="00361942">
      <w:pPr>
        <w:rPr>
          <w:sz w:val="22"/>
          <w:szCs w:val="22"/>
        </w:rPr>
      </w:pPr>
      <w:r>
        <w:rPr>
          <w:sz w:val="22"/>
          <w:szCs w:val="22"/>
        </w:rPr>
        <w:t>I lys av den foreslåtte økningen av egenandeler ved fri sakførsel fremstår det som positivt at egenandelen i saker med fritt rettsråd forblir uendret.</w:t>
      </w:r>
      <w:r w:rsidR="00F1400B">
        <w:rPr>
          <w:sz w:val="22"/>
          <w:szCs w:val="22"/>
        </w:rPr>
        <w:t xml:space="preserve"> Imidlertid vekker forsla</w:t>
      </w:r>
      <w:r w:rsidR="00992AE1">
        <w:rPr>
          <w:sz w:val="22"/>
          <w:szCs w:val="22"/>
        </w:rPr>
        <w:t xml:space="preserve">get om økning av egenandelene </w:t>
      </w:r>
      <w:r w:rsidR="00F1400B">
        <w:rPr>
          <w:sz w:val="22"/>
          <w:szCs w:val="22"/>
        </w:rPr>
        <w:t>bekymring.</w:t>
      </w:r>
    </w:p>
    <w:p w14:paraId="715D43A0" w14:textId="77777777" w:rsidR="00F1400B" w:rsidRDefault="00F1400B" w:rsidP="00361942">
      <w:pPr>
        <w:rPr>
          <w:sz w:val="22"/>
          <w:szCs w:val="22"/>
        </w:rPr>
      </w:pPr>
    </w:p>
    <w:p w14:paraId="21F84112" w14:textId="5644B535" w:rsidR="00992AE1" w:rsidRDefault="00F1400B" w:rsidP="00361942">
      <w:pPr>
        <w:rPr>
          <w:sz w:val="22"/>
          <w:szCs w:val="22"/>
        </w:rPr>
      </w:pPr>
      <w:r>
        <w:rPr>
          <w:sz w:val="22"/>
          <w:szCs w:val="22"/>
        </w:rPr>
        <w:t xml:space="preserve">Departementet viser i høringsbrevet til at det å gå til sak for å hevde sin rett </w:t>
      </w:r>
      <w:r w:rsidR="00992AE1">
        <w:rPr>
          <w:sz w:val="22"/>
          <w:szCs w:val="22"/>
        </w:rPr>
        <w:t xml:space="preserve">normalt </w:t>
      </w:r>
      <w:r>
        <w:rPr>
          <w:sz w:val="22"/>
          <w:szCs w:val="22"/>
        </w:rPr>
        <w:t>innebærer en forholdsvis stor risiko for de fleste.</w:t>
      </w:r>
      <w:r w:rsidR="00B3651F">
        <w:rPr>
          <w:sz w:val="22"/>
          <w:szCs w:val="22"/>
        </w:rPr>
        <w:t xml:space="preserve"> FFO er enig i at en part bør kunne foreta prosessøkonomiske vurderinger før man går til en rettssak. Imidlertid </w:t>
      </w:r>
      <w:r w:rsidR="00992AE1">
        <w:rPr>
          <w:sz w:val="22"/>
          <w:szCs w:val="22"/>
        </w:rPr>
        <w:t>er det gjerne slik at nettopp</w:t>
      </w:r>
      <w:r w:rsidR="00CE37BC">
        <w:rPr>
          <w:sz w:val="22"/>
          <w:szCs w:val="22"/>
        </w:rPr>
        <w:t xml:space="preserve"> grupper i samfunnet med svak økonomi</w:t>
      </w:r>
      <w:r w:rsidR="00B3651F">
        <w:rPr>
          <w:sz w:val="22"/>
          <w:szCs w:val="22"/>
        </w:rPr>
        <w:t xml:space="preserve"> har de </w:t>
      </w:r>
      <w:r w:rsidR="00992AE1">
        <w:rPr>
          <w:sz w:val="22"/>
          <w:szCs w:val="22"/>
        </w:rPr>
        <w:t>dårligste</w:t>
      </w:r>
      <w:r w:rsidR="00B3651F">
        <w:rPr>
          <w:sz w:val="22"/>
          <w:szCs w:val="22"/>
        </w:rPr>
        <w:t xml:space="preserve"> forutsetningene til å vurdere på egen hånd om det er </w:t>
      </w:r>
      <w:r w:rsidR="00A31627">
        <w:rPr>
          <w:sz w:val="22"/>
          <w:szCs w:val="22"/>
        </w:rPr>
        <w:t xml:space="preserve">saklig og </w:t>
      </w:r>
      <w:r w:rsidR="00B3651F">
        <w:rPr>
          <w:sz w:val="22"/>
          <w:szCs w:val="22"/>
        </w:rPr>
        <w:t>økonomisk forsvarlig å gå til sak. Denne funksjonen er til en sto</w:t>
      </w:r>
      <w:r w:rsidR="00992AE1">
        <w:rPr>
          <w:sz w:val="22"/>
          <w:szCs w:val="22"/>
        </w:rPr>
        <w:t>r grad overlatt til advokatene.</w:t>
      </w:r>
      <w:r w:rsidR="00B3651F">
        <w:rPr>
          <w:sz w:val="22"/>
          <w:szCs w:val="22"/>
        </w:rPr>
        <w:t xml:space="preserve"> FFO mener </w:t>
      </w:r>
      <w:r w:rsidR="00992AE1">
        <w:rPr>
          <w:sz w:val="22"/>
          <w:szCs w:val="22"/>
        </w:rPr>
        <w:t>det i så fall</w:t>
      </w:r>
      <w:r w:rsidR="00087592">
        <w:rPr>
          <w:sz w:val="22"/>
          <w:szCs w:val="22"/>
        </w:rPr>
        <w:t xml:space="preserve"> blir unødvendig </w:t>
      </w:r>
      <w:r w:rsidR="00992AE1">
        <w:rPr>
          <w:sz w:val="22"/>
          <w:szCs w:val="22"/>
        </w:rPr>
        <w:t>tyngede</w:t>
      </w:r>
      <w:r w:rsidR="00087592">
        <w:rPr>
          <w:sz w:val="22"/>
          <w:szCs w:val="22"/>
        </w:rPr>
        <w:t xml:space="preserve"> å legge dette ansvaret over på den private part i form av økte utgifter. Som nevnt ovenfor ser man at selv fravær av egenandel i en periode ikke </w:t>
      </w:r>
      <w:r w:rsidR="00DD368E">
        <w:rPr>
          <w:sz w:val="22"/>
          <w:szCs w:val="22"/>
        </w:rPr>
        <w:t xml:space="preserve">har </w:t>
      </w:r>
      <w:r w:rsidR="00087592">
        <w:rPr>
          <w:sz w:val="22"/>
          <w:szCs w:val="22"/>
        </w:rPr>
        <w:t>gitt noe markant økning i saksmengden. Det kan derfor tenkes</w:t>
      </w:r>
      <w:r w:rsidR="00A31627">
        <w:rPr>
          <w:sz w:val="22"/>
          <w:szCs w:val="22"/>
        </w:rPr>
        <w:t xml:space="preserve"> at</w:t>
      </w:r>
      <w:r w:rsidR="00087592">
        <w:rPr>
          <w:sz w:val="22"/>
          <w:szCs w:val="22"/>
        </w:rPr>
        <w:t xml:space="preserve"> </w:t>
      </w:r>
      <w:r w:rsidR="00A31627">
        <w:rPr>
          <w:sz w:val="22"/>
          <w:szCs w:val="22"/>
        </w:rPr>
        <w:t>ordningen med fri rettshjelp</w:t>
      </w:r>
      <w:r w:rsidR="00747981">
        <w:rPr>
          <w:sz w:val="22"/>
          <w:szCs w:val="22"/>
        </w:rPr>
        <w:t xml:space="preserve"> </w:t>
      </w:r>
      <w:r w:rsidR="00992AE1">
        <w:rPr>
          <w:sz w:val="22"/>
          <w:szCs w:val="22"/>
        </w:rPr>
        <w:t xml:space="preserve">faktisk </w:t>
      </w:r>
      <w:r w:rsidR="00087592">
        <w:rPr>
          <w:sz w:val="22"/>
          <w:szCs w:val="22"/>
        </w:rPr>
        <w:t xml:space="preserve">er </w:t>
      </w:r>
      <w:proofErr w:type="spellStart"/>
      <w:r w:rsidR="00087592">
        <w:rPr>
          <w:sz w:val="22"/>
          <w:szCs w:val="22"/>
        </w:rPr>
        <w:t>underforbrukt</w:t>
      </w:r>
      <w:proofErr w:type="spellEnd"/>
      <w:r w:rsidR="00087592">
        <w:rPr>
          <w:sz w:val="22"/>
          <w:szCs w:val="22"/>
        </w:rPr>
        <w:t xml:space="preserve"> blant de gruppene som trenger den mest.</w:t>
      </w:r>
    </w:p>
    <w:p w14:paraId="4BE51167" w14:textId="77777777" w:rsidR="00087592" w:rsidRDefault="00087592" w:rsidP="00361942">
      <w:pPr>
        <w:rPr>
          <w:sz w:val="22"/>
          <w:szCs w:val="22"/>
        </w:rPr>
      </w:pPr>
    </w:p>
    <w:p w14:paraId="2DD9694C" w14:textId="58031D0C" w:rsidR="00087592" w:rsidRDefault="00747981" w:rsidP="00361942">
      <w:pPr>
        <w:rPr>
          <w:sz w:val="22"/>
          <w:szCs w:val="22"/>
        </w:rPr>
      </w:pPr>
      <w:r>
        <w:rPr>
          <w:sz w:val="22"/>
          <w:szCs w:val="22"/>
        </w:rPr>
        <w:t>For eksempel omfattes k</w:t>
      </w:r>
      <w:r w:rsidR="00CF4F63">
        <w:rPr>
          <w:sz w:val="22"/>
          <w:szCs w:val="22"/>
        </w:rPr>
        <w:t>lagesaker etter folketrygdloven i dag av ordningen med fri rettshjelp.</w:t>
      </w:r>
      <w:r w:rsidR="00CF4F63">
        <w:rPr>
          <w:rStyle w:val="Fotnotereferanse"/>
          <w:sz w:val="22"/>
          <w:szCs w:val="22"/>
        </w:rPr>
        <w:footnoteReference w:id="3"/>
      </w:r>
      <w:r w:rsidR="00CF4F63">
        <w:rPr>
          <w:sz w:val="22"/>
          <w:szCs w:val="22"/>
        </w:rPr>
        <w:t xml:space="preserve"> Dette er saker som har stor betydning for mange funksjonshemmede og kronisk syke. </w:t>
      </w:r>
      <w:r w:rsidR="00EB18C5">
        <w:rPr>
          <w:sz w:val="22"/>
          <w:szCs w:val="22"/>
        </w:rPr>
        <w:t>Det kan være snakk om ytelser som skal «sikre inntekt og kompensere for særlige utgifter»</w:t>
      </w:r>
      <w:r w:rsidR="00EB18C5">
        <w:rPr>
          <w:rStyle w:val="Fotnotereferanse"/>
          <w:sz w:val="22"/>
          <w:szCs w:val="22"/>
        </w:rPr>
        <w:footnoteReference w:id="4"/>
      </w:r>
      <w:r w:rsidR="00EB18C5">
        <w:rPr>
          <w:sz w:val="22"/>
          <w:szCs w:val="22"/>
        </w:rPr>
        <w:t xml:space="preserve">, det kan for eksempel være ytelser til livsopphold. </w:t>
      </w:r>
      <w:r w:rsidR="00CF4F63">
        <w:rPr>
          <w:sz w:val="22"/>
          <w:szCs w:val="22"/>
        </w:rPr>
        <w:t>Ofte er</w:t>
      </w:r>
      <w:r w:rsidR="00087592">
        <w:rPr>
          <w:sz w:val="22"/>
          <w:szCs w:val="22"/>
        </w:rPr>
        <w:t xml:space="preserve"> det slik at den private part allerede har forsøkt å løse</w:t>
      </w:r>
      <w:r w:rsidR="00CF4F63">
        <w:rPr>
          <w:sz w:val="22"/>
          <w:szCs w:val="22"/>
        </w:rPr>
        <w:t xml:space="preserve"> en</w:t>
      </w:r>
      <w:r w:rsidR="00087592">
        <w:rPr>
          <w:sz w:val="22"/>
          <w:szCs w:val="22"/>
        </w:rPr>
        <w:t xml:space="preserve"> konflikt ved å benytte seg av klagead</w:t>
      </w:r>
      <w:r w:rsidR="00CF4F63">
        <w:rPr>
          <w:sz w:val="22"/>
          <w:szCs w:val="22"/>
        </w:rPr>
        <w:t>gangen, men har ikke nådd frem</w:t>
      </w:r>
      <w:r w:rsidR="00EB18C5">
        <w:rPr>
          <w:sz w:val="22"/>
          <w:szCs w:val="22"/>
        </w:rPr>
        <w:t xml:space="preserve">. </w:t>
      </w:r>
      <w:r w:rsidR="005F00E7">
        <w:rPr>
          <w:sz w:val="22"/>
          <w:szCs w:val="22"/>
        </w:rPr>
        <w:t>Mange som får avslag på en livsoppholdsytelse</w:t>
      </w:r>
      <w:r w:rsidR="00EB18C5">
        <w:rPr>
          <w:sz w:val="22"/>
          <w:szCs w:val="22"/>
        </w:rPr>
        <w:t>,</w:t>
      </w:r>
      <w:r w:rsidR="005F00E7">
        <w:rPr>
          <w:sz w:val="22"/>
          <w:szCs w:val="22"/>
        </w:rPr>
        <w:t xml:space="preserve"> slik som arbeidsavklaringspenger eller uføretrygd, står helt alene og ofte uten påfølgende veiledning fra NAV om hvilke andre ytelser man kan ha krav på. </w:t>
      </w:r>
      <w:r w:rsidR="00936BAD">
        <w:rPr>
          <w:sz w:val="22"/>
          <w:szCs w:val="22"/>
        </w:rPr>
        <w:t xml:space="preserve">Det er et tankekors at veiledningsplikten i forvaltningen ikke alltid fungerer etter sin hensikt og det blir desto viktigere at </w:t>
      </w:r>
      <w:r w:rsidR="00172AE3">
        <w:rPr>
          <w:sz w:val="22"/>
          <w:szCs w:val="22"/>
        </w:rPr>
        <w:t xml:space="preserve">det eksisterende rettsapparatet står beredt til å sikre at enkeltindivider får rettshjelp i tilfeller der de opplever å ikke nå fram overfor forvaltningen. </w:t>
      </w:r>
      <w:r w:rsidR="005F00E7">
        <w:rPr>
          <w:sz w:val="22"/>
          <w:szCs w:val="22"/>
        </w:rPr>
        <w:t>Departementets argument om at partene bør løse saken på minnelig vis så tidlig som mulig i prosessen</w:t>
      </w:r>
      <w:r w:rsidR="00B66317">
        <w:rPr>
          <w:sz w:val="22"/>
          <w:szCs w:val="22"/>
        </w:rPr>
        <w:t>,</w:t>
      </w:r>
      <w:r w:rsidR="005F00E7">
        <w:rPr>
          <w:sz w:val="22"/>
          <w:szCs w:val="22"/>
        </w:rPr>
        <w:t xml:space="preserve"> blir derfor ikke reell. En økning av egenandel i disse saker vil i praksis </w:t>
      </w:r>
      <w:r w:rsidR="00CF4F63">
        <w:rPr>
          <w:sz w:val="22"/>
          <w:szCs w:val="22"/>
        </w:rPr>
        <w:t xml:space="preserve">kunne </w:t>
      </w:r>
      <w:r w:rsidR="005F00E7">
        <w:rPr>
          <w:sz w:val="22"/>
          <w:szCs w:val="22"/>
        </w:rPr>
        <w:t>føre til at retten til rettshjelp for disse gruppene fortsetter å fremstå som illusorisk.</w:t>
      </w:r>
    </w:p>
    <w:p w14:paraId="08A94A07" w14:textId="77777777" w:rsidR="00DD368E" w:rsidRDefault="00DD368E" w:rsidP="00361942">
      <w:pPr>
        <w:rPr>
          <w:sz w:val="22"/>
          <w:szCs w:val="22"/>
        </w:rPr>
      </w:pPr>
    </w:p>
    <w:p w14:paraId="6189919C" w14:textId="77777777" w:rsidR="00DD368E" w:rsidRDefault="00DD368E" w:rsidP="00361942">
      <w:pPr>
        <w:rPr>
          <w:sz w:val="22"/>
          <w:szCs w:val="22"/>
        </w:rPr>
      </w:pPr>
      <w:r>
        <w:rPr>
          <w:sz w:val="22"/>
          <w:szCs w:val="22"/>
        </w:rPr>
        <w:t xml:space="preserve">Det prosessøkonomiske argumentet i behovsprøvde saker, som omhandler barnefordeling og privatrettslige formuesforhold, synes </w:t>
      </w:r>
      <w:r w:rsidR="009F73F0">
        <w:rPr>
          <w:sz w:val="22"/>
          <w:szCs w:val="22"/>
        </w:rPr>
        <w:t>etter vår mening å</w:t>
      </w:r>
      <w:r>
        <w:rPr>
          <w:sz w:val="22"/>
          <w:szCs w:val="22"/>
        </w:rPr>
        <w:t xml:space="preserve"> være tilstrekkelig ivaretatt ved at slike saker nedprioriteres.</w:t>
      </w:r>
    </w:p>
    <w:p w14:paraId="75A3E7CF" w14:textId="77777777" w:rsidR="00DD368E" w:rsidRDefault="00DD368E" w:rsidP="00361942">
      <w:pPr>
        <w:rPr>
          <w:sz w:val="22"/>
          <w:szCs w:val="22"/>
        </w:rPr>
      </w:pPr>
    </w:p>
    <w:p w14:paraId="2C00DDBF" w14:textId="77777777" w:rsidR="00DD368E" w:rsidRDefault="00DD368E" w:rsidP="00361942">
      <w:pPr>
        <w:rPr>
          <w:sz w:val="22"/>
          <w:szCs w:val="22"/>
        </w:rPr>
      </w:pPr>
      <w:r>
        <w:rPr>
          <w:sz w:val="22"/>
          <w:szCs w:val="22"/>
        </w:rPr>
        <w:t xml:space="preserve">FFO mener at egenandeler i behovsprøvde saker med fri sakførsel ikke </w:t>
      </w:r>
      <w:r w:rsidR="00EB18C5">
        <w:rPr>
          <w:sz w:val="22"/>
          <w:szCs w:val="22"/>
        </w:rPr>
        <w:t xml:space="preserve">må </w:t>
      </w:r>
      <w:r>
        <w:rPr>
          <w:sz w:val="22"/>
          <w:szCs w:val="22"/>
        </w:rPr>
        <w:t xml:space="preserve">økes. Det bør </w:t>
      </w:r>
      <w:r w:rsidR="00EB18C5">
        <w:rPr>
          <w:sz w:val="22"/>
          <w:szCs w:val="22"/>
        </w:rPr>
        <w:t>i</w:t>
      </w:r>
      <w:r w:rsidR="004B6EDC">
        <w:rPr>
          <w:sz w:val="22"/>
          <w:szCs w:val="22"/>
        </w:rPr>
        <w:t xml:space="preserve"> </w:t>
      </w:r>
      <w:r w:rsidR="00EB18C5">
        <w:rPr>
          <w:sz w:val="22"/>
          <w:szCs w:val="22"/>
        </w:rPr>
        <w:t>stede</w:t>
      </w:r>
      <w:r w:rsidR="004B6EDC">
        <w:rPr>
          <w:sz w:val="22"/>
          <w:szCs w:val="22"/>
        </w:rPr>
        <w:t>t</w:t>
      </w:r>
      <w:r w:rsidR="00EB18C5">
        <w:rPr>
          <w:sz w:val="22"/>
          <w:szCs w:val="22"/>
        </w:rPr>
        <w:t xml:space="preserve"> </w:t>
      </w:r>
      <w:r>
        <w:rPr>
          <w:sz w:val="22"/>
          <w:szCs w:val="22"/>
        </w:rPr>
        <w:t>sees nærmere på en ordning med graderte egenandeler</w:t>
      </w:r>
      <w:r w:rsidR="00EB18C5">
        <w:rPr>
          <w:sz w:val="22"/>
          <w:szCs w:val="22"/>
        </w:rPr>
        <w:t xml:space="preserve">. </w:t>
      </w:r>
      <w:r w:rsidR="00304854">
        <w:rPr>
          <w:sz w:val="22"/>
          <w:szCs w:val="22"/>
        </w:rPr>
        <w:t>Størrelsen på egenandelen bør ha en sammenheng med søkerens inntekt, slik at egenandelene gradvis øker med størrelsen på inntekt etter at fradrag for faste utgifter er gjort (altså at søkerens disponible inntekt legges til grunn for utregningen)</w:t>
      </w:r>
      <w:r w:rsidR="0062785C">
        <w:rPr>
          <w:sz w:val="22"/>
          <w:szCs w:val="22"/>
        </w:rPr>
        <w:t>,</w:t>
      </w:r>
      <w:r w:rsidR="00304854">
        <w:rPr>
          <w:sz w:val="22"/>
          <w:szCs w:val="22"/>
        </w:rPr>
        <w:t xml:space="preserve"> samtidig som det åpnes for høyere inntektsgrenser. </w:t>
      </w:r>
      <w:r w:rsidR="00EB18C5">
        <w:rPr>
          <w:sz w:val="22"/>
          <w:szCs w:val="22"/>
        </w:rPr>
        <w:t>Dette er</w:t>
      </w:r>
      <w:r w:rsidR="00BD1BA9">
        <w:rPr>
          <w:sz w:val="22"/>
          <w:szCs w:val="22"/>
        </w:rPr>
        <w:t xml:space="preserve"> </w:t>
      </w:r>
      <w:r w:rsidR="009F73F0">
        <w:rPr>
          <w:sz w:val="22"/>
          <w:szCs w:val="22"/>
        </w:rPr>
        <w:t>for</w:t>
      </w:r>
      <w:r w:rsidR="00BD1BA9">
        <w:rPr>
          <w:sz w:val="22"/>
          <w:szCs w:val="22"/>
        </w:rPr>
        <w:t xml:space="preserve"> </w:t>
      </w:r>
      <w:r w:rsidR="009F73F0">
        <w:rPr>
          <w:sz w:val="22"/>
          <w:szCs w:val="22"/>
        </w:rPr>
        <w:t>øvrig</w:t>
      </w:r>
      <w:r w:rsidR="00EB18C5">
        <w:rPr>
          <w:sz w:val="22"/>
          <w:szCs w:val="22"/>
        </w:rPr>
        <w:t xml:space="preserve"> foreslått </w:t>
      </w:r>
      <w:r w:rsidR="00EB18C5">
        <w:rPr>
          <w:sz w:val="22"/>
          <w:szCs w:val="22"/>
        </w:rPr>
        <w:lastRenderedPageBreak/>
        <w:t>tidligere</w:t>
      </w:r>
      <w:r w:rsidR="004B6EDC">
        <w:rPr>
          <w:rStyle w:val="Fotnotereferanse"/>
          <w:sz w:val="22"/>
          <w:szCs w:val="22"/>
        </w:rPr>
        <w:footnoteReference w:id="5"/>
      </w:r>
      <w:r w:rsidR="00EB18C5">
        <w:rPr>
          <w:sz w:val="22"/>
          <w:szCs w:val="22"/>
        </w:rPr>
        <w:t xml:space="preserve"> og </w:t>
      </w:r>
      <w:r>
        <w:rPr>
          <w:sz w:val="22"/>
          <w:szCs w:val="22"/>
        </w:rPr>
        <w:t>synes å fungere tilfredsstillende i våre naboland</w:t>
      </w:r>
      <w:r w:rsidR="004B6EDC">
        <w:rPr>
          <w:rStyle w:val="Fotnotereferanse"/>
          <w:sz w:val="22"/>
          <w:szCs w:val="22"/>
        </w:rPr>
        <w:footnoteReference w:id="6"/>
      </w:r>
      <w:r>
        <w:rPr>
          <w:sz w:val="22"/>
          <w:szCs w:val="22"/>
        </w:rPr>
        <w:t xml:space="preserve">. Dette vil gjøre rettssikkerheten til </w:t>
      </w:r>
      <w:r w:rsidR="00EB18C5">
        <w:rPr>
          <w:sz w:val="22"/>
          <w:szCs w:val="22"/>
        </w:rPr>
        <w:t>utsatte grupper</w:t>
      </w:r>
      <w:r>
        <w:rPr>
          <w:sz w:val="22"/>
          <w:szCs w:val="22"/>
        </w:rPr>
        <w:t xml:space="preserve"> mer reell og i samsvar med Norges folkerettslige forpliktelser.</w:t>
      </w:r>
    </w:p>
    <w:p w14:paraId="3847B171" w14:textId="77777777" w:rsidR="00867146" w:rsidRDefault="00867146" w:rsidP="00361942">
      <w:pPr>
        <w:rPr>
          <w:sz w:val="22"/>
          <w:szCs w:val="22"/>
        </w:rPr>
      </w:pPr>
    </w:p>
    <w:p w14:paraId="0E3A36E8" w14:textId="77777777" w:rsidR="001C075E" w:rsidRDefault="001C075E" w:rsidP="00361942">
      <w:pPr>
        <w:rPr>
          <w:sz w:val="22"/>
          <w:szCs w:val="22"/>
        </w:rPr>
      </w:pPr>
    </w:p>
    <w:p w14:paraId="6A592950" w14:textId="77777777" w:rsidR="001C075E" w:rsidRDefault="001C075E" w:rsidP="00361942">
      <w:pPr>
        <w:rPr>
          <w:rFonts w:cs="Arial"/>
          <w:b/>
          <w:bCs/>
          <w:kern w:val="32"/>
        </w:rPr>
      </w:pPr>
      <w:r w:rsidRPr="001C075E">
        <w:rPr>
          <w:rFonts w:cs="Arial"/>
          <w:b/>
          <w:bCs/>
          <w:kern w:val="32"/>
        </w:rPr>
        <w:t>Endring i rundskriv G-12/2005 om fri rettshjelp og oppmyking av dispensasjonspraksis</w:t>
      </w:r>
    </w:p>
    <w:p w14:paraId="7992C364" w14:textId="77777777" w:rsidR="00C80091" w:rsidRPr="006C195B" w:rsidRDefault="00C80091" w:rsidP="00361942">
      <w:pPr>
        <w:rPr>
          <w:rFonts w:cs="Arial"/>
          <w:sz w:val="22"/>
          <w:szCs w:val="22"/>
        </w:rPr>
      </w:pPr>
      <w:r w:rsidRPr="00EB18C5">
        <w:rPr>
          <w:rFonts w:cs="Arial"/>
          <w:sz w:val="22"/>
          <w:szCs w:val="22"/>
        </w:rPr>
        <w:t>Dep</w:t>
      </w:r>
      <w:r w:rsidRPr="00C80091">
        <w:rPr>
          <w:rFonts w:cs="Arial"/>
          <w:sz w:val="22"/>
          <w:szCs w:val="22"/>
        </w:rPr>
        <w:t xml:space="preserve">artementet foreslår å innføre en ny regel om økonomisk dispensasjon i behovsprøvde saker. </w:t>
      </w:r>
      <w:r w:rsidRPr="006C195B">
        <w:rPr>
          <w:rFonts w:cs="Arial"/>
          <w:sz w:val="22"/>
          <w:szCs w:val="22"/>
        </w:rPr>
        <w:t>Som bakgrunn for forslaget trekker departementet fram at:</w:t>
      </w:r>
    </w:p>
    <w:p w14:paraId="0E5ED1A9" w14:textId="62EA7EEE" w:rsidR="00B3651F" w:rsidRPr="006C195B" w:rsidRDefault="00AA2EE7" w:rsidP="00EB18C5">
      <w:pPr>
        <w:pStyle w:val="Listeavsnitt"/>
        <w:numPr>
          <w:ilvl w:val="0"/>
          <w:numId w:val="7"/>
        </w:numPr>
        <w:rPr>
          <w:rFonts w:cs="Arial"/>
        </w:rPr>
      </w:pPr>
      <w:r>
        <w:rPr>
          <w:rFonts w:ascii="Arial" w:hAnsi="Arial" w:cs="Arial"/>
        </w:rPr>
        <w:t>I</w:t>
      </w:r>
      <w:r w:rsidR="00C80091" w:rsidRPr="00EB18C5">
        <w:rPr>
          <w:rFonts w:ascii="Arial" w:hAnsi="Arial" w:cs="Arial"/>
        </w:rPr>
        <w:t>nntektsgrensene for fri rettshj</w:t>
      </w:r>
      <w:r>
        <w:rPr>
          <w:rFonts w:ascii="Arial" w:hAnsi="Arial" w:cs="Arial"/>
        </w:rPr>
        <w:t>elp har vært uendret siden 2009.</w:t>
      </w:r>
      <w:r w:rsidR="00C80091" w:rsidRPr="00EB18C5">
        <w:rPr>
          <w:rFonts w:ascii="Arial" w:hAnsi="Arial" w:cs="Arial"/>
        </w:rPr>
        <w:t xml:space="preserve"> </w:t>
      </w:r>
    </w:p>
    <w:p w14:paraId="669DFD76" w14:textId="59145085" w:rsidR="00C80091" w:rsidRPr="006C195B" w:rsidRDefault="00DA3DD1" w:rsidP="00EB18C5">
      <w:pPr>
        <w:pStyle w:val="Listeavsnitt"/>
        <w:numPr>
          <w:ilvl w:val="0"/>
          <w:numId w:val="7"/>
        </w:numPr>
        <w:rPr>
          <w:rFonts w:cs="Arial"/>
        </w:rPr>
      </w:pPr>
      <w:r w:rsidRPr="00EB18C5">
        <w:rPr>
          <w:rFonts w:ascii="Arial" w:hAnsi="Arial" w:cs="Arial"/>
        </w:rPr>
        <w:t>Dagens</w:t>
      </w:r>
      <w:r w:rsidR="00C80091" w:rsidRPr="00EB18C5">
        <w:rPr>
          <w:rFonts w:ascii="Arial" w:hAnsi="Arial" w:cs="Arial"/>
        </w:rPr>
        <w:t xml:space="preserve"> ordning ikke </w:t>
      </w:r>
      <w:r w:rsidR="00936BAD" w:rsidRPr="0081618D">
        <w:rPr>
          <w:rFonts w:ascii="Arial" w:hAnsi="Arial" w:cs="Arial"/>
        </w:rPr>
        <w:t xml:space="preserve">tar </w:t>
      </w:r>
      <w:r w:rsidR="00C80091" w:rsidRPr="00EB18C5">
        <w:rPr>
          <w:rFonts w:ascii="Arial" w:hAnsi="Arial" w:cs="Arial"/>
        </w:rPr>
        <w:t>i betraktning at personer med forsørgerbyrde</w:t>
      </w:r>
      <w:r w:rsidR="0062785C">
        <w:rPr>
          <w:rFonts w:ascii="Arial" w:hAnsi="Arial" w:cs="Arial"/>
        </w:rPr>
        <w:t>,</w:t>
      </w:r>
      <w:r w:rsidR="00C80091" w:rsidRPr="00EB18C5">
        <w:rPr>
          <w:rFonts w:ascii="Arial" w:hAnsi="Arial" w:cs="Arial"/>
        </w:rPr>
        <w:t xml:space="preserve"> </w:t>
      </w:r>
      <w:r w:rsidR="0042147B">
        <w:rPr>
          <w:rFonts w:ascii="Arial" w:hAnsi="Arial" w:cs="Arial"/>
        </w:rPr>
        <w:t>for eksempel</w:t>
      </w:r>
      <w:r w:rsidR="00C80091" w:rsidRPr="00EB18C5">
        <w:rPr>
          <w:rFonts w:ascii="Arial" w:hAnsi="Arial" w:cs="Arial"/>
        </w:rPr>
        <w:t xml:space="preserve"> </w:t>
      </w:r>
      <w:r w:rsidR="00304854" w:rsidRPr="00EB18C5">
        <w:rPr>
          <w:rFonts w:ascii="Arial" w:hAnsi="Arial" w:cs="Arial"/>
        </w:rPr>
        <w:t xml:space="preserve">for </w:t>
      </w:r>
      <w:r w:rsidR="00C80091" w:rsidRPr="00EB18C5">
        <w:rPr>
          <w:rFonts w:ascii="Arial" w:hAnsi="Arial" w:cs="Arial"/>
        </w:rPr>
        <w:t>barn</w:t>
      </w:r>
      <w:r w:rsidR="0062785C">
        <w:rPr>
          <w:rFonts w:ascii="Arial" w:hAnsi="Arial" w:cs="Arial"/>
        </w:rPr>
        <w:t>,</w:t>
      </w:r>
      <w:r w:rsidR="00C80091" w:rsidRPr="00EB18C5">
        <w:rPr>
          <w:rFonts w:ascii="Arial" w:hAnsi="Arial" w:cs="Arial"/>
        </w:rPr>
        <w:t xml:space="preserve"> har faste utgifter som kommer i tillegg til det de enslige har</w:t>
      </w:r>
      <w:r w:rsidR="00AA2EE7">
        <w:rPr>
          <w:rFonts w:ascii="Arial" w:hAnsi="Arial" w:cs="Arial"/>
        </w:rPr>
        <w:t>.</w:t>
      </w:r>
    </w:p>
    <w:p w14:paraId="56117321" w14:textId="04A60FFC" w:rsidR="00C80091" w:rsidRPr="006C195B" w:rsidRDefault="00DA3DD1" w:rsidP="00EB18C5">
      <w:pPr>
        <w:pStyle w:val="Listeavsnitt"/>
        <w:numPr>
          <w:ilvl w:val="0"/>
          <w:numId w:val="7"/>
        </w:numPr>
        <w:rPr>
          <w:rFonts w:cs="Arial"/>
        </w:rPr>
      </w:pPr>
      <w:r w:rsidRPr="00EB18C5">
        <w:rPr>
          <w:rFonts w:ascii="Arial" w:hAnsi="Arial" w:cs="Arial"/>
        </w:rPr>
        <w:t>Ved</w:t>
      </w:r>
      <w:r w:rsidR="00C80091" w:rsidRPr="00EB18C5">
        <w:rPr>
          <w:rFonts w:ascii="Arial" w:hAnsi="Arial" w:cs="Arial"/>
        </w:rPr>
        <w:t xml:space="preserve"> omlegging av skattesystemet fra 1. januar 2015 falt flere uføretrygdmottakere utenom ordningen.</w:t>
      </w:r>
    </w:p>
    <w:p w14:paraId="767A9BF7" w14:textId="54A91BEC" w:rsidR="00C80091" w:rsidRDefault="00C80091" w:rsidP="00C80091">
      <w:pPr>
        <w:rPr>
          <w:rFonts w:cs="Arial"/>
          <w:sz w:val="22"/>
          <w:szCs w:val="22"/>
        </w:rPr>
      </w:pPr>
      <w:r w:rsidRPr="00EB18C5">
        <w:rPr>
          <w:rFonts w:cs="Arial"/>
          <w:sz w:val="22"/>
          <w:szCs w:val="22"/>
        </w:rPr>
        <w:t xml:space="preserve">Det er viktig at det med forslaget settes ord på underliggende årsaker til at flere </w:t>
      </w:r>
      <w:r w:rsidR="00D41107">
        <w:rPr>
          <w:rFonts w:cs="Arial"/>
          <w:sz w:val="22"/>
          <w:szCs w:val="22"/>
        </w:rPr>
        <w:t>utsatte</w:t>
      </w:r>
      <w:r w:rsidRPr="00EB18C5">
        <w:rPr>
          <w:rFonts w:cs="Arial"/>
          <w:sz w:val="22"/>
          <w:szCs w:val="22"/>
        </w:rPr>
        <w:t xml:space="preserve"> grupper faller utenfor.</w:t>
      </w:r>
      <w:r>
        <w:rPr>
          <w:rFonts w:cs="Arial"/>
          <w:sz w:val="22"/>
          <w:szCs w:val="22"/>
        </w:rPr>
        <w:t xml:space="preserve"> Dette tydeliggjør behovet for å se nærmere på </w:t>
      </w:r>
      <w:r w:rsidR="00C60478">
        <w:rPr>
          <w:rFonts w:cs="Arial"/>
          <w:sz w:val="22"/>
          <w:szCs w:val="22"/>
        </w:rPr>
        <w:t xml:space="preserve">hva som </w:t>
      </w:r>
      <w:r w:rsidR="00D41107">
        <w:rPr>
          <w:rFonts w:cs="Arial"/>
          <w:sz w:val="22"/>
          <w:szCs w:val="22"/>
        </w:rPr>
        <w:t>kan</w:t>
      </w:r>
      <w:r w:rsidR="00C60478">
        <w:rPr>
          <w:rFonts w:cs="Arial"/>
          <w:sz w:val="22"/>
          <w:szCs w:val="22"/>
        </w:rPr>
        <w:t xml:space="preserve"> gi en mer fleksibel løsning.</w:t>
      </w:r>
    </w:p>
    <w:p w14:paraId="58BE50E9" w14:textId="77777777" w:rsidR="006C195B" w:rsidRDefault="006C195B" w:rsidP="00C80091">
      <w:pPr>
        <w:rPr>
          <w:rFonts w:cs="Arial"/>
          <w:sz w:val="22"/>
          <w:szCs w:val="22"/>
        </w:rPr>
      </w:pPr>
    </w:p>
    <w:p w14:paraId="1832CFFE" w14:textId="77777777" w:rsidR="005C7F66" w:rsidRDefault="006C195B" w:rsidP="00C80091">
      <w:pPr>
        <w:rPr>
          <w:rFonts w:cs="Arial"/>
          <w:sz w:val="22"/>
          <w:szCs w:val="22"/>
        </w:rPr>
      </w:pPr>
      <w:r>
        <w:rPr>
          <w:rFonts w:cs="Arial"/>
          <w:sz w:val="22"/>
          <w:szCs w:val="22"/>
        </w:rPr>
        <w:t xml:space="preserve">Departementet påpeker at dispensasjonsadgangen er meget snever slik den praktiseres i dag. Dette reiser spørsmål om hvorfor den er så innsnevret at dispensasjon i praksis ikke er reell og at det er ønskelig med en oppmykning av den grunn. </w:t>
      </w:r>
      <w:r w:rsidR="00D94631">
        <w:rPr>
          <w:rFonts w:cs="Arial"/>
          <w:sz w:val="22"/>
          <w:szCs w:val="22"/>
        </w:rPr>
        <w:t xml:space="preserve">Departementet foreslår at dispensasjonsadgangen tallfestes slik at personer med forsørgerbyrde for barn eller de som har behov for en mer omfattende juridisk bistand på over 12 timer </w:t>
      </w:r>
      <w:r w:rsidR="004B6EDC">
        <w:rPr>
          <w:rFonts w:cs="Arial"/>
          <w:sz w:val="22"/>
          <w:szCs w:val="22"/>
        </w:rPr>
        <w:t xml:space="preserve">kan </w:t>
      </w:r>
      <w:r w:rsidR="00D94631">
        <w:rPr>
          <w:rFonts w:cs="Arial"/>
          <w:sz w:val="22"/>
          <w:szCs w:val="22"/>
        </w:rPr>
        <w:t xml:space="preserve">få en forhøyet inntektsgrense med kr. 20 000,- I tilfeller med inntektsoverskridelse på over kr. 20 000,- foreslås det å innvilge fri rettshjelp kun helt unntaksvis og bare hvis den juridiske bistanden overstiger 30 timer. </w:t>
      </w:r>
    </w:p>
    <w:p w14:paraId="7061F27A" w14:textId="77777777" w:rsidR="005C7F66" w:rsidRDefault="005C7F66" w:rsidP="00C80091">
      <w:pPr>
        <w:rPr>
          <w:rFonts w:cs="Arial"/>
          <w:sz w:val="22"/>
          <w:szCs w:val="22"/>
        </w:rPr>
      </w:pPr>
    </w:p>
    <w:p w14:paraId="78A01CCA" w14:textId="77777777" w:rsidR="006C195B" w:rsidRDefault="00D94631" w:rsidP="00C80091">
      <w:pPr>
        <w:rPr>
          <w:rFonts w:cs="Arial"/>
          <w:sz w:val="22"/>
          <w:szCs w:val="22"/>
        </w:rPr>
      </w:pPr>
      <w:r>
        <w:rPr>
          <w:rFonts w:cs="Arial"/>
          <w:sz w:val="22"/>
          <w:szCs w:val="22"/>
        </w:rPr>
        <w:t xml:space="preserve">FFO </w:t>
      </w:r>
      <w:r w:rsidR="00155DEA">
        <w:rPr>
          <w:rFonts w:cs="Arial"/>
          <w:sz w:val="22"/>
          <w:szCs w:val="22"/>
        </w:rPr>
        <w:t>ser følgende utfordringer ved gjennomføring av dette forslaget på sikt:</w:t>
      </w:r>
    </w:p>
    <w:p w14:paraId="317D75EF" w14:textId="77777777" w:rsidR="00155DEA" w:rsidRDefault="00155DEA" w:rsidP="00EB18C5">
      <w:pPr>
        <w:pStyle w:val="Listeavsnitt"/>
        <w:numPr>
          <w:ilvl w:val="0"/>
          <w:numId w:val="8"/>
        </w:numPr>
        <w:rPr>
          <w:rFonts w:cs="Arial"/>
        </w:rPr>
      </w:pPr>
      <w:r w:rsidRPr="00155DEA">
        <w:rPr>
          <w:rFonts w:ascii="Arial" w:hAnsi="Arial" w:cs="Arial"/>
        </w:rPr>
        <w:t>Dersom</w:t>
      </w:r>
      <w:r w:rsidRPr="00EB18C5">
        <w:rPr>
          <w:rFonts w:ascii="Arial" w:hAnsi="Arial" w:cs="Arial"/>
        </w:rPr>
        <w:t xml:space="preserve"> inntektsgrensen forblir uendret</w:t>
      </w:r>
      <w:r>
        <w:rPr>
          <w:rFonts w:ascii="Arial" w:hAnsi="Arial" w:cs="Arial"/>
        </w:rPr>
        <w:t xml:space="preserve"> og ikke indekseres jevnlig i tråd med økende kjøpekraft i samfunnet, kommer stadig flere grupper til å falle utenfor ordningen med fri rettshjelp</w:t>
      </w:r>
      <w:r w:rsidR="005C7F66">
        <w:rPr>
          <w:rFonts w:ascii="Arial" w:hAnsi="Arial" w:cs="Arial"/>
        </w:rPr>
        <w:t>.</w:t>
      </w:r>
    </w:p>
    <w:p w14:paraId="352211BD" w14:textId="77777777" w:rsidR="00155DEA" w:rsidRDefault="00155DEA" w:rsidP="00EB18C5">
      <w:pPr>
        <w:pStyle w:val="Listeavsnitt"/>
        <w:numPr>
          <w:ilvl w:val="0"/>
          <w:numId w:val="8"/>
        </w:numPr>
        <w:rPr>
          <w:rFonts w:cs="Arial"/>
        </w:rPr>
      </w:pPr>
      <w:r>
        <w:rPr>
          <w:rFonts w:ascii="Arial" w:hAnsi="Arial" w:cs="Arial"/>
        </w:rPr>
        <w:t xml:space="preserve">En fast dispensasjonsgrense på kr. 20 000,- vil i praksis </w:t>
      </w:r>
      <w:r w:rsidR="00552BDE">
        <w:rPr>
          <w:rFonts w:ascii="Arial" w:hAnsi="Arial" w:cs="Arial"/>
        </w:rPr>
        <w:t xml:space="preserve">kun fungere kortsiktig fram til det tidspunktet når de gruppene som omfattes per i dag igjen faller utenfor av samme årsak </w:t>
      </w:r>
      <w:r w:rsidR="00B66317">
        <w:rPr>
          <w:rFonts w:ascii="Arial" w:hAnsi="Arial" w:cs="Arial"/>
        </w:rPr>
        <w:t>(</w:t>
      </w:r>
      <w:r w:rsidR="00552BDE">
        <w:rPr>
          <w:rFonts w:ascii="Arial" w:hAnsi="Arial" w:cs="Arial"/>
        </w:rPr>
        <w:t>som nevnt i pkt. 1).</w:t>
      </w:r>
    </w:p>
    <w:p w14:paraId="770F572C" w14:textId="77777777" w:rsidR="00552BDE" w:rsidRDefault="00552BDE" w:rsidP="00EB18C5">
      <w:pPr>
        <w:pStyle w:val="Listeavsnitt"/>
        <w:numPr>
          <w:ilvl w:val="0"/>
          <w:numId w:val="8"/>
        </w:numPr>
        <w:rPr>
          <w:rFonts w:cs="Arial"/>
        </w:rPr>
      </w:pPr>
      <w:r>
        <w:rPr>
          <w:rFonts w:ascii="Arial" w:hAnsi="Arial" w:cs="Arial"/>
        </w:rPr>
        <w:t xml:space="preserve">Forslaget med videreføring av den generelle dispensasjonsadgangen kun helt unntaksvis </w:t>
      </w:r>
      <w:r w:rsidR="004B6EDC">
        <w:rPr>
          <w:rFonts w:ascii="Arial" w:hAnsi="Arial" w:cs="Arial"/>
        </w:rPr>
        <w:t>kan</w:t>
      </w:r>
      <w:r>
        <w:rPr>
          <w:rFonts w:ascii="Arial" w:hAnsi="Arial" w:cs="Arial"/>
        </w:rPr>
        <w:t xml:space="preserve"> ende opp med at nesten ingen saker blir vurdert, spesielt med tanke på at det er ytterst få som får dispensasjon etter denne unntaksregelen i dag.</w:t>
      </w:r>
    </w:p>
    <w:p w14:paraId="2290392F" w14:textId="34328143" w:rsidR="00552BDE" w:rsidRDefault="00552BDE" w:rsidP="00552BDE">
      <w:pPr>
        <w:rPr>
          <w:rFonts w:cs="Arial"/>
          <w:sz w:val="22"/>
          <w:szCs w:val="22"/>
        </w:rPr>
      </w:pPr>
      <w:r w:rsidRPr="005C7F66">
        <w:rPr>
          <w:rFonts w:cs="Arial"/>
          <w:sz w:val="22"/>
          <w:szCs w:val="22"/>
        </w:rPr>
        <w:t>Kort oppsummert</w:t>
      </w:r>
      <w:r w:rsidR="006673C3">
        <w:rPr>
          <w:rFonts w:cs="Arial"/>
          <w:sz w:val="22"/>
          <w:szCs w:val="22"/>
        </w:rPr>
        <w:t xml:space="preserve"> mener vi</w:t>
      </w:r>
      <w:r w:rsidRPr="005C7F66">
        <w:rPr>
          <w:rFonts w:cs="Arial"/>
          <w:sz w:val="22"/>
          <w:szCs w:val="22"/>
        </w:rPr>
        <w:t xml:space="preserve"> </w:t>
      </w:r>
      <w:r>
        <w:rPr>
          <w:rFonts w:cs="Arial"/>
          <w:sz w:val="22"/>
          <w:szCs w:val="22"/>
        </w:rPr>
        <w:t>departementets forslag om oppmykning av dispensasjonsadgang i praksis</w:t>
      </w:r>
      <w:r w:rsidR="006673C3">
        <w:rPr>
          <w:rFonts w:cs="Arial"/>
          <w:sz w:val="22"/>
          <w:szCs w:val="22"/>
        </w:rPr>
        <w:t xml:space="preserve"> innebærer</w:t>
      </w:r>
      <w:r>
        <w:rPr>
          <w:rFonts w:cs="Arial"/>
          <w:sz w:val="22"/>
          <w:szCs w:val="22"/>
        </w:rPr>
        <w:t xml:space="preserve"> en innstramning. Dersom ordningen blir gjennomført, vil den gi en meget kortsiktig løsning, som i overskuelig fremtid kommer til å ramme </w:t>
      </w:r>
      <w:r w:rsidR="005C7F66">
        <w:rPr>
          <w:rFonts w:cs="Arial"/>
          <w:sz w:val="22"/>
          <w:szCs w:val="22"/>
        </w:rPr>
        <w:t>utsatte grupper</w:t>
      </w:r>
      <w:r>
        <w:rPr>
          <w:rFonts w:cs="Arial"/>
          <w:sz w:val="22"/>
          <w:szCs w:val="22"/>
        </w:rPr>
        <w:t xml:space="preserve"> enda mer enn den snevre dispensasjonsadgangen som er lovfestet i dag</w:t>
      </w:r>
      <w:r w:rsidR="005C7F66">
        <w:rPr>
          <w:rFonts w:cs="Arial"/>
          <w:sz w:val="22"/>
          <w:szCs w:val="22"/>
        </w:rPr>
        <w:t xml:space="preserve"> gjør</w:t>
      </w:r>
      <w:r>
        <w:rPr>
          <w:rFonts w:cs="Arial"/>
          <w:sz w:val="22"/>
          <w:szCs w:val="22"/>
        </w:rPr>
        <w:t>.</w:t>
      </w:r>
      <w:r w:rsidR="00EF5BEC">
        <w:rPr>
          <w:rFonts w:cs="Arial"/>
          <w:sz w:val="22"/>
          <w:szCs w:val="22"/>
        </w:rPr>
        <w:t xml:space="preserve"> Grunnlaget for denne utviklingen ligger blant annet i at </w:t>
      </w:r>
      <w:r w:rsidR="005C7F66">
        <w:rPr>
          <w:rFonts w:cs="Arial"/>
          <w:sz w:val="22"/>
          <w:szCs w:val="22"/>
        </w:rPr>
        <w:t>flere av de FFO representerer er</w:t>
      </w:r>
      <w:r w:rsidR="00EF5BEC">
        <w:rPr>
          <w:rFonts w:cs="Arial"/>
          <w:sz w:val="22"/>
          <w:szCs w:val="22"/>
        </w:rPr>
        <w:t xml:space="preserve"> mottakere av en trygdeytelse, som er basert på folketrygdens grunnbeløp (G). Grunnbeløpet indekseres hvert år for å </w:t>
      </w:r>
      <w:r w:rsidR="00D41107">
        <w:rPr>
          <w:rFonts w:cs="Arial"/>
          <w:sz w:val="22"/>
          <w:szCs w:val="22"/>
        </w:rPr>
        <w:t>samsvare med</w:t>
      </w:r>
      <w:r w:rsidR="00EF5BEC">
        <w:rPr>
          <w:rFonts w:cs="Arial"/>
          <w:sz w:val="22"/>
          <w:szCs w:val="22"/>
        </w:rPr>
        <w:t xml:space="preserve"> økende kjøpekraft i samfunnet. I løpet av de siste årene og siden 2008, da inntektsgrensen i rettshjelploven ble </w:t>
      </w:r>
      <w:r w:rsidR="00D41107">
        <w:rPr>
          <w:rFonts w:cs="Arial"/>
          <w:sz w:val="22"/>
          <w:szCs w:val="22"/>
        </w:rPr>
        <w:t>endre</w:t>
      </w:r>
      <w:r w:rsidR="00EF5BEC">
        <w:rPr>
          <w:rFonts w:cs="Arial"/>
          <w:sz w:val="22"/>
          <w:szCs w:val="22"/>
        </w:rPr>
        <w:t xml:space="preserve">t sist, har grunnbeløpet økt med over kr. 20 000,-. Dette gir en dokumentert økning i inntektene til </w:t>
      </w:r>
      <w:r w:rsidR="00C6687C">
        <w:rPr>
          <w:rFonts w:cs="Arial"/>
          <w:sz w:val="22"/>
          <w:szCs w:val="22"/>
        </w:rPr>
        <w:t>økonomisk svake grupper</w:t>
      </w:r>
      <w:r w:rsidR="00EF5BEC">
        <w:rPr>
          <w:rFonts w:cs="Arial"/>
          <w:sz w:val="22"/>
          <w:szCs w:val="22"/>
        </w:rPr>
        <w:t xml:space="preserve"> på mellom kr. 45 000,- og kr. 90 000,- i årlig inntekt i løpet av bare de siste 8 år. </w:t>
      </w:r>
      <w:r w:rsidR="006673C3">
        <w:rPr>
          <w:rFonts w:cs="Arial"/>
          <w:sz w:val="22"/>
          <w:szCs w:val="22"/>
        </w:rPr>
        <w:t>Også disse gruppene står økonomisk svakt, og med liten mulighet til å betale for nødvendig rettshjelp. Dette er et alvorlig rettssikkerhetsproblem.</w:t>
      </w:r>
      <w:r w:rsidR="00EF5BEC">
        <w:rPr>
          <w:rFonts w:cs="Arial"/>
          <w:sz w:val="22"/>
          <w:szCs w:val="22"/>
        </w:rPr>
        <w:t xml:space="preserve"> Ordningen med faste </w:t>
      </w:r>
      <w:r w:rsidR="00936BAD">
        <w:rPr>
          <w:rFonts w:cs="Arial"/>
          <w:sz w:val="22"/>
          <w:szCs w:val="22"/>
        </w:rPr>
        <w:t>inntekts</w:t>
      </w:r>
      <w:r w:rsidR="00EF5BEC">
        <w:rPr>
          <w:rFonts w:cs="Arial"/>
          <w:sz w:val="22"/>
          <w:szCs w:val="22"/>
        </w:rPr>
        <w:t xml:space="preserve">beløp </w:t>
      </w:r>
      <w:r w:rsidR="00936BAD">
        <w:rPr>
          <w:rFonts w:cs="Arial"/>
          <w:sz w:val="22"/>
          <w:szCs w:val="22"/>
        </w:rPr>
        <w:t xml:space="preserve">i behovsprøvd rettshjelp bidrar til å øke de sosiale forskjellene. Det er </w:t>
      </w:r>
      <w:r w:rsidR="0062785C">
        <w:rPr>
          <w:rFonts w:cs="Arial"/>
          <w:sz w:val="22"/>
          <w:szCs w:val="22"/>
        </w:rPr>
        <w:t xml:space="preserve">et </w:t>
      </w:r>
      <w:r w:rsidR="00936BAD">
        <w:rPr>
          <w:rFonts w:cs="Arial"/>
          <w:sz w:val="22"/>
          <w:szCs w:val="22"/>
        </w:rPr>
        <w:t xml:space="preserve">paradoks at </w:t>
      </w:r>
      <w:r w:rsidR="006673C3">
        <w:rPr>
          <w:rFonts w:cs="Arial"/>
          <w:sz w:val="22"/>
          <w:szCs w:val="22"/>
        </w:rPr>
        <w:t>blant annet</w:t>
      </w:r>
      <w:r w:rsidR="00936BAD">
        <w:rPr>
          <w:rFonts w:cs="Arial"/>
          <w:sz w:val="22"/>
          <w:szCs w:val="22"/>
        </w:rPr>
        <w:t xml:space="preserve"> trygdede på denne måten effektivt </w:t>
      </w:r>
      <w:r w:rsidR="006673C3">
        <w:rPr>
          <w:rFonts w:cs="Arial"/>
          <w:sz w:val="22"/>
          <w:szCs w:val="22"/>
        </w:rPr>
        <w:lastRenderedPageBreak/>
        <w:t>avskjæres</w:t>
      </w:r>
      <w:r w:rsidR="00936BAD">
        <w:rPr>
          <w:rFonts w:cs="Arial"/>
          <w:sz w:val="22"/>
          <w:szCs w:val="22"/>
        </w:rPr>
        <w:t xml:space="preserve"> fra profesjonell advokatbistand når de skal klage på vedtak om trygd eller prøve sin sak i Trygderetten.</w:t>
      </w:r>
    </w:p>
    <w:p w14:paraId="11EE7FD7" w14:textId="77777777" w:rsidR="00552BDE" w:rsidRDefault="00552BDE" w:rsidP="00552BDE">
      <w:pPr>
        <w:rPr>
          <w:rFonts w:cs="Arial"/>
          <w:sz w:val="22"/>
          <w:szCs w:val="22"/>
        </w:rPr>
      </w:pPr>
    </w:p>
    <w:p w14:paraId="05AB24B0" w14:textId="77777777" w:rsidR="00552BDE" w:rsidRPr="006673C3" w:rsidRDefault="00552BDE" w:rsidP="00552BDE">
      <w:pPr>
        <w:rPr>
          <w:rFonts w:cs="Arial"/>
          <w:sz w:val="22"/>
          <w:szCs w:val="22"/>
        </w:rPr>
      </w:pPr>
      <w:r>
        <w:rPr>
          <w:rFonts w:cs="Arial"/>
          <w:sz w:val="22"/>
          <w:szCs w:val="22"/>
        </w:rPr>
        <w:t xml:space="preserve">FFO mener at </w:t>
      </w:r>
      <w:r w:rsidR="00936BAD">
        <w:rPr>
          <w:rFonts w:cs="Arial"/>
          <w:sz w:val="22"/>
          <w:szCs w:val="22"/>
        </w:rPr>
        <w:t xml:space="preserve">dispensasjonsadgangen fremdeles </w:t>
      </w:r>
      <w:r w:rsidR="006673C3">
        <w:rPr>
          <w:rFonts w:cs="Arial"/>
          <w:sz w:val="22"/>
          <w:szCs w:val="22"/>
        </w:rPr>
        <w:t xml:space="preserve">bør </w:t>
      </w:r>
      <w:r w:rsidR="00936BAD">
        <w:rPr>
          <w:rFonts w:cs="Arial"/>
          <w:sz w:val="22"/>
          <w:szCs w:val="22"/>
        </w:rPr>
        <w:t xml:space="preserve">være skjønnsbasert, der man heller legger føringer for en oppmykning av den eksisterende praksisen. </w:t>
      </w:r>
    </w:p>
    <w:p w14:paraId="11AB35A7" w14:textId="77777777" w:rsidR="00B3651F" w:rsidRDefault="00B3651F" w:rsidP="00361942">
      <w:pPr>
        <w:rPr>
          <w:sz w:val="22"/>
          <w:szCs w:val="22"/>
          <w:highlight w:val="yellow"/>
        </w:rPr>
      </w:pPr>
    </w:p>
    <w:p w14:paraId="7036069B" w14:textId="77777777" w:rsidR="001C075E" w:rsidRDefault="001C075E" w:rsidP="00361942">
      <w:pPr>
        <w:rPr>
          <w:rFonts w:cs="Arial"/>
          <w:b/>
          <w:bCs/>
          <w:kern w:val="32"/>
        </w:rPr>
      </w:pPr>
    </w:p>
    <w:p w14:paraId="4C515745" w14:textId="77777777" w:rsidR="001C075E" w:rsidRDefault="001C075E" w:rsidP="00361942">
      <w:pPr>
        <w:rPr>
          <w:rFonts w:cs="Arial"/>
          <w:b/>
          <w:bCs/>
          <w:kern w:val="32"/>
        </w:rPr>
      </w:pPr>
      <w:r>
        <w:rPr>
          <w:rFonts w:cs="Arial"/>
          <w:b/>
          <w:bCs/>
          <w:kern w:val="32"/>
        </w:rPr>
        <w:t>Utvidelse av rettshjelplovens saklige dekningsområde</w:t>
      </w:r>
    </w:p>
    <w:p w14:paraId="678DDA37" w14:textId="77777777" w:rsidR="00B81154" w:rsidRDefault="00B81154" w:rsidP="0096792B">
      <w:pPr>
        <w:rPr>
          <w:sz w:val="22"/>
          <w:szCs w:val="22"/>
        </w:rPr>
      </w:pPr>
      <w:r>
        <w:rPr>
          <w:sz w:val="22"/>
          <w:szCs w:val="22"/>
        </w:rPr>
        <w:t xml:space="preserve">I 2015 utarbeidet </w:t>
      </w:r>
      <w:r w:rsidR="006673C3">
        <w:rPr>
          <w:sz w:val="22"/>
          <w:szCs w:val="22"/>
        </w:rPr>
        <w:t>sivilsamfunnet</w:t>
      </w:r>
      <w:r>
        <w:rPr>
          <w:sz w:val="22"/>
          <w:szCs w:val="22"/>
        </w:rPr>
        <w:t xml:space="preserve"> første alternative rapport til FN-komiteen for rettighetene til mennesker med nedsatt funksjonsevne.</w:t>
      </w:r>
      <w:r>
        <w:rPr>
          <w:rStyle w:val="Fotnotereferanse"/>
          <w:sz w:val="22"/>
          <w:szCs w:val="22"/>
        </w:rPr>
        <w:footnoteReference w:id="7"/>
      </w:r>
      <w:r>
        <w:rPr>
          <w:sz w:val="22"/>
          <w:szCs w:val="22"/>
        </w:rPr>
        <w:t xml:space="preserve"> Det fremkommer av rapporten at funksjonshemmede ikke nødvendigvis får rett selv om de har rett. </w:t>
      </w:r>
      <w:r w:rsidR="00521838">
        <w:rPr>
          <w:sz w:val="22"/>
          <w:szCs w:val="22"/>
        </w:rPr>
        <w:t xml:space="preserve">Det påpekes også under artikkel 13, Tilgang til rettssystemet, at rettshjelploven ikke omfatter viktige områder for funksjonshemmede som skole, helse- og omsorg og diskriminering. </w:t>
      </w:r>
      <w:r w:rsidR="006673C3">
        <w:rPr>
          <w:sz w:val="22"/>
          <w:szCs w:val="22"/>
        </w:rPr>
        <w:t>Sivilsamfunnet</w:t>
      </w:r>
      <w:r w:rsidR="00521838">
        <w:rPr>
          <w:sz w:val="22"/>
          <w:szCs w:val="22"/>
        </w:rPr>
        <w:t xml:space="preserve"> anbefaler å endre rettshjelploven til å inkludere diskrimineringssaker, utdanning og saker om helse- og omsorgstjenester.</w:t>
      </w:r>
    </w:p>
    <w:p w14:paraId="47F95C40" w14:textId="77777777" w:rsidR="00521838" w:rsidRDefault="00521838" w:rsidP="0096792B">
      <w:pPr>
        <w:rPr>
          <w:sz w:val="22"/>
          <w:szCs w:val="22"/>
        </w:rPr>
      </w:pPr>
    </w:p>
    <w:p w14:paraId="4454EF26" w14:textId="77777777" w:rsidR="00521838" w:rsidRPr="00B81154" w:rsidRDefault="00521838" w:rsidP="0096792B">
      <w:pPr>
        <w:rPr>
          <w:sz w:val="22"/>
          <w:szCs w:val="22"/>
        </w:rPr>
      </w:pPr>
      <w:r>
        <w:rPr>
          <w:sz w:val="22"/>
          <w:szCs w:val="22"/>
        </w:rPr>
        <w:t>Det er i dag svært få rettsavgjørelser på velferdsrettens område.</w:t>
      </w:r>
      <w:r>
        <w:rPr>
          <w:rStyle w:val="Fotnotereferanse"/>
          <w:sz w:val="22"/>
          <w:szCs w:val="22"/>
        </w:rPr>
        <w:footnoteReference w:id="8"/>
      </w:r>
      <w:r>
        <w:rPr>
          <w:sz w:val="22"/>
          <w:szCs w:val="22"/>
        </w:rPr>
        <w:t xml:space="preserve"> Dette tyder på at det er få som </w:t>
      </w:r>
      <w:r w:rsidR="006673C3">
        <w:rPr>
          <w:sz w:val="22"/>
          <w:szCs w:val="22"/>
        </w:rPr>
        <w:t>har økonomiske ressurser til å gå rettens vei</w:t>
      </w:r>
      <w:r w:rsidR="009F73F0">
        <w:rPr>
          <w:sz w:val="22"/>
          <w:szCs w:val="22"/>
        </w:rPr>
        <w:t xml:space="preserve"> for å få oppfylt sin rett. Mange opplever</w:t>
      </w:r>
      <w:r w:rsidR="00F31975">
        <w:rPr>
          <w:sz w:val="22"/>
          <w:szCs w:val="22"/>
        </w:rPr>
        <w:t xml:space="preserve"> også</w:t>
      </w:r>
      <w:r w:rsidR="009F73F0">
        <w:rPr>
          <w:sz w:val="22"/>
          <w:szCs w:val="22"/>
        </w:rPr>
        <w:t xml:space="preserve"> å ha kjempet mot systemet i lang tid, og orker heller ikke ta denne kampen </w:t>
      </w:r>
      <w:r w:rsidR="00747981">
        <w:rPr>
          <w:sz w:val="22"/>
          <w:szCs w:val="22"/>
        </w:rPr>
        <w:t xml:space="preserve">videre </w:t>
      </w:r>
      <w:r w:rsidR="009F73F0">
        <w:rPr>
          <w:sz w:val="22"/>
          <w:szCs w:val="22"/>
        </w:rPr>
        <w:t xml:space="preserve">alene. </w:t>
      </w:r>
      <w:r w:rsidR="0008081A">
        <w:rPr>
          <w:sz w:val="22"/>
          <w:szCs w:val="22"/>
        </w:rPr>
        <w:t xml:space="preserve">Når rettshjelploven i tillegg ikke omfatter sentrale lover innenfor velferdsrettens område, reduserer det ytterligere funksjonshemmedes mulighet til å få prøvd sine rettigheter juridisk. Det er et rettssikkerhetsproblem at saker på disse områdene ikke tas til domstolene. Man har da kun forvaltningspraksis å forholde seg til, som heller ikke er allmenn kjent. Sivilombudsmannen har også i flere uttalelser avdekket forvaltningspraksis i strid med regelverket, men i motsetning til en dom, er ikke uttalelsene til Sivilombudsmannen bindene. </w:t>
      </w:r>
    </w:p>
    <w:p w14:paraId="09674DDD" w14:textId="77777777" w:rsidR="002A597F" w:rsidRDefault="002A597F" w:rsidP="0096792B">
      <w:pPr>
        <w:rPr>
          <w:sz w:val="22"/>
          <w:szCs w:val="22"/>
        </w:rPr>
      </w:pPr>
    </w:p>
    <w:p w14:paraId="5B22CE95" w14:textId="77777777" w:rsidR="0096792B" w:rsidRPr="001112AA" w:rsidRDefault="0096792B" w:rsidP="0096792B">
      <w:pPr>
        <w:rPr>
          <w:sz w:val="22"/>
          <w:szCs w:val="22"/>
        </w:rPr>
      </w:pPr>
      <w:r w:rsidRPr="001112AA">
        <w:rPr>
          <w:sz w:val="22"/>
          <w:szCs w:val="22"/>
        </w:rPr>
        <w:t xml:space="preserve">Å få </w:t>
      </w:r>
      <w:r w:rsidR="006673C3">
        <w:rPr>
          <w:sz w:val="22"/>
          <w:szCs w:val="22"/>
        </w:rPr>
        <w:t xml:space="preserve">nødvendig </w:t>
      </w:r>
      <w:r w:rsidRPr="001112AA">
        <w:rPr>
          <w:sz w:val="22"/>
          <w:szCs w:val="22"/>
        </w:rPr>
        <w:t>rettshjelp er et avgjørende</w:t>
      </w:r>
      <w:r w:rsidR="006673C3">
        <w:rPr>
          <w:sz w:val="22"/>
          <w:szCs w:val="22"/>
        </w:rPr>
        <w:t xml:space="preserve"> rettssikkerhetsprinsipp, men også et</w:t>
      </w:r>
      <w:r w:rsidRPr="001112AA">
        <w:rPr>
          <w:sz w:val="22"/>
          <w:szCs w:val="22"/>
        </w:rPr>
        <w:t xml:space="preserve"> velferdsgode.</w:t>
      </w:r>
      <w:r w:rsidR="00EA207B">
        <w:rPr>
          <w:sz w:val="22"/>
          <w:szCs w:val="22"/>
        </w:rPr>
        <w:t xml:space="preserve"> Det å ha en </w:t>
      </w:r>
      <w:r w:rsidR="00BD7753">
        <w:rPr>
          <w:sz w:val="22"/>
          <w:szCs w:val="22"/>
        </w:rPr>
        <w:t>rettshjelpsordning</w:t>
      </w:r>
      <w:r w:rsidR="00EA207B">
        <w:rPr>
          <w:sz w:val="22"/>
          <w:szCs w:val="22"/>
        </w:rPr>
        <w:t xml:space="preserve"> henger tett sammen med den individuelle adgangen til å få prøvd sin sak i rettsapparatet. En adgang som ikke må begrenses av den enkeltes økonomi.</w:t>
      </w:r>
      <w:r w:rsidRPr="001112AA">
        <w:rPr>
          <w:sz w:val="22"/>
          <w:szCs w:val="22"/>
        </w:rPr>
        <w:t xml:space="preserve"> Da rettshjelpsordningen ble etablert, ble funksjonshemmede ansett som mottakere av veldedighet. Gjennom årene har det skjedd en økt rettsliggjøring i vårt samfunn, og rettshjelploven er ikke lenger i samsvar med de individuelle rettighetene norske borgere har og utviklingen av nye rettigheter. FFO mener rettshjelploven må gjenspeile denne utviklingen. Når Stortinget har valgt å gi individuelle rettigheter, og ratifisert CRPD, må det finnes mekanismer som sikrer at disse rettighetene blir oppfylt i praksis. </w:t>
      </w:r>
    </w:p>
    <w:p w14:paraId="615C05EA" w14:textId="77777777" w:rsidR="0096792B" w:rsidRPr="001112AA" w:rsidRDefault="0096792B" w:rsidP="0096792B">
      <w:pPr>
        <w:rPr>
          <w:sz w:val="22"/>
          <w:szCs w:val="22"/>
        </w:rPr>
      </w:pPr>
    </w:p>
    <w:p w14:paraId="225BCF68" w14:textId="731C1401" w:rsidR="0096792B" w:rsidRPr="001112AA" w:rsidRDefault="0096792B" w:rsidP="0096792B">
      <w:pPr>
        <w:rPr>
          <w:sz w:val="22"/>
          <w:szCs w:val="22"/>
        </w:rPr>
      </w:pPr>
      <w:r w:rsidRPr="001112AA">
        <w:rPr>
          <w:sz w:val="22"/>
          <w:szCs w:val="22"/>
        </w:rPr>
        <w:t>Pasient- og brukerrettighetsloven og opplæringsloven inneholder regler om rett til sentrale velferdsgoder</w:t>
      </w:r>
      <w:r w:rsidR="00F31975">
        <w:rPr>
          <w:sz w:val="22"/>
          <w:szCs w:val="22"/>
        </w:rPr>
        <w:t>.</w:t>
      </w:r>
      <w:r w:rsidR="002D2640">
        <w:rPr>
          <w:sz w:val="22"/>
          <w:szCs w:val="22"/>
        </w:rPr>
        <w:t xml:space="preserve"> </w:t>
      </w:r>
      <w:r w:rsidR="00F31975">
        <w:rPr>
          <w:sz w:val="22"/>
          <w:szCs w:val="22"/>
        </w:rPr>
        <w:t>Opplæringsloven inneholder for eksempel ikke bare rettigheter, men også plikter som opplæringsplikt</w:t>
      </w:r>
      <w:r w:rsidR="00F31975">
        <w:rPr>
          <w:rStyle w:val="Fotnotereferanse"/>
          <w:sz w:val="22"/>
          <w:szCs w:val="22"/>
        </w:rPr>
        <w:footnoteReference w:id="9"/>
      </w:r>
      <w:r w:rsidR="00F31975">
        <w:rPr>
          <w:sz w:val="22"/>
          <w:szCs w:val="22"/>
        </w:rPr>
        <w:t xml:space="preserve">. </w:t>
      </w:r>
      <w:r w:rsidR="002D2640">
        <w:rPr>
          <w:sz w:val="22"/>
          <w:szCs w:val="22"/>
        </w:rPr>
        <w:t xml:space="preserve">Ingen av disse lovene er omfattet av rettshjelploven. </w:t>
      </w:r>
      <w:r w:rsidR="00F31975">
        <w:rPr>
          <w:sz w:val="22"/>
          <w:szCs w:val="22"/>
        </w:rPr>
        <w:t>H</w:t>
      </w:r>
      <w:r w:rsidRPr="001112AA">
        <w:rPr>
          <w:sz w:val="22"/>
          <w:szCs w:val="22"/>
        </w:rPr>
        <w:t xml:space="preserve">eller ikke </w:t>
      </w:r>
      <w:r w:rsidR="00747981">
        <w:rPr>
          <w:sz w:val="22"/>
          <w:szCs w:val="22"/>
        </w:rPr>
        <w:t xml:space="preserve">diskriminerings- og tilgjengelighetsloven </w:t>
      </w:r>
      <w:r w:rsidR="00F31975">
        <w:rPr>
          <w:sz w:val="22"/>
          <w:szCs w:val="22"/>
        </w:rPr>
        <w:t>er omfattet av rettshjelploven</w:t>
      </w:r>
      <w:r w:rsidRPr="001112AA">
        <w:rPr>
          <w:sz w:val="22"/>
          <w:szCs w:val="22"/>
        </w:rPr>
        <w:t>.</w:t>
      </w:r>
      <w:r w:rsidR="009F73F0">
        <w:rPr>
          <w:sz w:val="22"/>
          <w:szCs w:val="22"/>
        </w:rPr>
        <w:t xml:space="preserve"> Rettshjelploven tar altså ikke opp i seg nye lover på velferdsrettens område.</w:t>
      </w:r>
      <w:r w:rsidRPr="001112AA">
        <w:rPr>
          <w:sz w:val="22"/>
          <w:szCs w:val="22"/>
        </w:rPr>
        <w:t xml:space="preserve">  I slike saker må man derfor betale for advokatbistanden selv. Folketrygdloven hjemler også rett til sentrale velferdsgoder, men det er først i forbindelse med klagebehandling at man kan få fri rettshjelp.</w:t>
      </w:r>
      <w:r w:rsidR="00D41107">
        <w:rPr>
          <w:sz w:val="22"/>
          <w:szCs w:val="22"/>
        </w:rPr>
        <w:t xml:space="preserve"> Det kan være stort behov for rettshjelp også før en har en klagesak da veiledningen fra NAV dessverre ofte er mangelfull</w:t>
      </w:r>
      <w:r w:rsidR="0039069D">
        <w:rPr>
          <w:rStyle w:val="Fotnotereferanse"/>
          <w:sz w:val="22"/>
          <w:szCs w:val="22"/>
        </w:rPr>
        <w:footnoteReference w:id="10"/>
      </w:r>
      <w:r w:rsidR="00D41107">
        <w:rPr>
          <w:sz w:val="22"/>
          <w:szCs w:val="22"/>
        </w:rPr>
        <w:t>. Også etter at en sak er behandlet i trygderetten kan det være behov for rettshjelp for å ta saken til domstolen.</w:t>
      </w:r>
    </w:p>
    <w:p w14:paraId="373083C0" w14:textId="77777777" w:rsidR="0096792B" w:rsidRPr="001112AA" w:rsidRDefault="0096792B" w:rsidP="0096792B">
      <w:pPr>
        <w:rPr>
          <w:sz w:val="22"/>
          <w:szCs w:val="22"/>
        </w:rPr>
      </w:pPr>
    </w:p>
    <w:p w14:paraId="5B3B34B7" w14:textId="77777777" w:rsidR="0096792B" w:rsidRPr="001112AA" w:rsidRDefault="0096792B" w:rsidP="0096792B">
      <w:pPr>
        <w:rPr>
          <w:sz w:val="22"/>
          <w:szCs w:val="22"/>
        </w:rPr>
      </w:pPr>
      <w:r w:rsidRPr="001112AA">
        <w:rPr>
          <w:sz w:val="22"/>
          <w:szCs w:val="22"/>
        </w:rPr>
        <w:t>Rettshjelploven har en sikkerhetsventil som gir unntak fra de uttømmende listene over hvilke saks</w:t>
      </w:r>
      <w:r w:rsidR="001112AA">
        <w:rPr>
          <w:sz w:val="22"/>
          <w:szCs w:val="22"/>
        </w:rPr>
        <w:t>områder det gis rettshjelp i</w:t>
      </w:r>
      <w:r w:rsidRPr="001112AA">
        <w:rPr>
          <w:sz w:val="22"/>
          <w:szCs w:val="22"/>
        </w:rPr>
        <w:t xml:space="preserve">, men det er dokumentert at dette praktiseres ulikt fylker imellom og at det ikke fører til fri rettshjelp i alle </w:t>
      </w:r>
      <w:r w:rsidR="001112AA">
        <w:rPr>
          <w:sz w:val="22"/>
          <w:szCs w:val="22"/>
        </w:rPr>
        <w:t>saker der det er behov for det.</w:t>
      </w:r>
      <w:r w:rsidR="001112AA">
        <w:rPr>
          <w:rStyle w:val="Fotnotereferanse"/>
          <w:sz w:val="22"/>
          <w:szCs w:val="22"/>
        </w:rPr>
        <w:footnoteReference w:id="11"/>
      </w:r>
    </w:p>
    <w:p w14:paraId="096233C4" w14:textId="77777777" w:rsidR="0096792B" w:rsidRPr="001112AA" w:rsidRDefault="0096792B" w:rsidP="0096792B">
      <w:pPr>
        <w:rPr>
          <w:sz w:val="22"/>
          <w:szCs w:val="22"/>
        </w:rPr>
      </w:pPr>
    </w:p>
    <w:p w14:paraId="17688D2B" w14:textId="77777777" w:rsidR="005C6AB0" w:rsidRDefault="0096792B" w:rsidP="0096792B">
      <w:pPr>
        <w:rPr>
          <w:sz w:val="22"/>
          <w:szCs w:val="22"/>
        </w:rPr>
      </w:pPr>
      <w:r w:rsidRPr="001112AA">
        <w:rPr>
          <w:sz w:val="22"/>
          <w:szCs w:val="22"/>
        </w:rPr>
        <w:t>FFO mener på bakgrunn av dette at rettshjelploven må utvides til å omfatte saker etter diskriminerings- og tilgjengelighetsloven, pasient- og brukerrettighetsloven, opplæringsloven og flere saker etter folketrygdloven.</w:t>
      </w:r>
    </w:p>
    <w:p w14:paraId="20FC6F7B" w14:textId="77777777" w:rsidR="00D2190A" w:rsidRDefault="00D2190A" w:rsidP="0096792B">
      <w:pPr>
        <w:rPr>
          <w:sz w:val="22"/>
          <w:szCs w:val="22"/>
        </w:rPr>
      </w:pPr>
    </w:p>
    <w:p w14:paraId="0F4D98C1" w14:textId="77777777" w:rsidR="00D2190A" w:rsidRDefault="00D2190A" w:rsidP="0096792B">
      <w:pPr>
        <w:rPr>
          <w:sz w:val="22"/>
          <w:szCs w:val="22"/>
        </w:rPr>
      </w:pPr>
    </w:p>
    <w:p w14:paraId="2EE9DA23" w14:textId="77777777" w:rsidR="00D2190A" w:rsidRDefault="00D2190A" w:rsidP="00D2190A">
      <w:pPr>
        <w:rPr>
          <w:rFonts w:cs="Arial"/>
          <w:b/>
          <w:bCs/>
          <w:kern w:val="32"/>
        </w:rPr>
      </w:pPr>
      <w:r>
        <w:rPr>
          <w:rFonts w:cs="Arial"/>
          <w:b/>
          <w:bCs/>
          <w:kern w:val="32"/>
        </w:rPr>
        <w:t>Heving av inntektsgrensen</w:t>
      </w:r>
    </w:p>
    <w:p w14:paraId="5C624921" w14:textId="77777777" w:rsidR="00D2190A" w:rsidRDefault="00D2190A" w:rsidP="00D2190A">
      <w:pPr>
        <w:rPr>
          <w:sz w:val="22"/>
        </w:rPr>
      </w:pPr>
      <w:r>
        <w:rPr>
          <w:sz w:val="22"/>
        </w:rPr>
        <w:t>Selv om et saksområde</w:t>
      </w:r>
      <w:r w:rsidRPr="00181807">
        <w:rPr>
          <w:sz w:val="22"/>
        </w:rPr>
        <w:t xml:space="preserve"> faller innenfor rettshjelploven, innskrenkes retten til rettshjelp til å gjelde de med aller dårligst økonomi. </w:t>
      </w:r>
      <w:r>
        <w:rPr>
          <w:sz w:val="22"/>
        </w:rPr>
        <w:t>Inntektsgrensen er nå</w:t>
      </w:r>
      <w:r w:rsidRPr="00181807">
        <w:rPr>
          <w:sz w:val="22"/>
        </w:rPr>
        <w:t xml:space="preserve"> 246</w:t>
      </w:r>
      <w:r>
        <w:rPr>
          <w:sz w:val="22"/>
        </w:rPr>
        <w:t> </w:t>
      </w:r>
      <w:r w:rsidRPr="00181807">
        <w:rPr>
          <w:sz w:val="22"/>
        </w:rPr>
        <w:t>000</w:t>
      </w:r>
      <w:r>
        <w:rPr>
          <w:sz w:val="22"/>
        </w:rPr>
        <w:t xml:space="preserve"> kr </w:t>
      </w:r>
      <w:r w:rsidRPr="00181807">
        <w:rPr>
          <w:sz w:val="22"/>
        </w:rPr>
        <w:t>for enslige</w:t>
      </w:r>
      <w:r>
        <w:rPr>
          <w:sz w:val="22"/>
        </w:rPr>
        <w:t xml:space="preserve"> (brutto årsinntekt)</w:t>
      </w:r>
      <w:r w:rsidRPr="00181807">
        <w:rPr>
          <w:sz w:val="22"/>
        </w:rPr>
        <w:t xml:space="preserve"> og 369 000 </w:t>
      </w:r>
      <w:r>
        <w:rPr>
          <w:sz w:val="22"/>
        </w:rPr>
        <w:t xml:space="preserve">kr (brutto årsinntekt) </w:t>
      </w:r>
      <w:r w:rsidRPr="00181807">
        <w:rPr>
          <w:sz w:val="22"/>
        </w:rPr>
        <w:t>for ektefeller og andre som lever sammen med felles økonomi.</w:t>
      </w:r>
      <w:r w:rsidRPr="00181807">
        <w:rPr>
          <w:rStyle w:val="Fotnotereferanse"/>
          <w:sz w:val="22"/>
        </w:rPr>
        <w:footnoteReference w:id="12"/>
      </w:r>
      <w:r w:rsidRPr="00181807">
        <w:rPr>
          <w:sz w:val="22"/>
        </w:rPr>
        <w:t xml:space="preserve"> </w:t>
      </w:r>
      <w:r w:rsidR="004D22BE">
        <w:rPr>
          <w:sz w:val="22"/>
        </w:rPr>
        <w:t xml:space="preserve">Denne inntektsgrensen har vært uendret i mange år. </w:t>
      </w:r>
      <w:r w:rsidRPr="00181807">
        <w:rPr>
          <w:sz w:val="22"/>
        </w:rPr>
        <w:t xml:space="preserve">Selv om bruttoinntekten er høyere enn den fastsatte grensen, har mange ikke råd til å betale for advokat. </w:t>
      </w:r>
      <w:r w:rsidR="00401731">
        <w:rPr>
          <w:sz w:val="22"/>
        </w:rPr>
        <w:t xml:space="preserve">Man har ikke god råd selv om inntekten er høyere enn dagens inntektsgrenser. </w:t>
      </w:r>
      <w:r w:rsidRPr="00181807">
        <w:rPr>
          <w:sz w:val="22"/>
        </w:rPr>
        <w:t xml:space="preserve">Den reelle betalingsevnen blir </w:t>
      </w:r>
      <w:r w:rsidR="00401731">
        <w:rPr>
          <w:sz w:val="22"/>
        </w:rPr>
        <w:t xml:space="preserve">også </w:t>
      </w:r>
      <w:r w:rsidRPr="00181807">
        <w:rPr>
          <w:sz w:val="22"/>
        </w:rPr>
        <w:t>liten når skatt, utgifter til bolig</w:t>
      </w:r>
      <w:r>
        <w:rPr>
          <w:sz w:val="22"/>
        </w:rPr>
        <w:t>, forsørgelse av barn</w:t>
      </w:r>
      <w:r w:rsidRPr="00181807">
        <w:rPr>
          <w:sz w:val="22"/>
        </w:rPr>
        <w:t xml:space="preserve"> og andre faste kostnader trekkes fra. I tillegg har funksjonshemmede og kronisk syke ekstrautgifter knyttet til sykdom som ikke kompenseres av det offentlige.</w:t>
      </w:r>
      <w:r w:rsidR="00C57E04">
        <w:rPr>
          <w:sz w:val="22"/>
        </w:rPr>
        <w:t xml:space="preserve"> Som eksempel kan nevnes ulike egenandeler</w:t>
      </w:r>
      <w:r w:rsidR="009B777D">
        <w:rPr>
          <w:sz w:val="22"/>
        </w:rPr>
        <w:t xml:space="preserve"> </w:t>
      </w:r>
      <w:r w:rsidR="00BD7753">
        <w:rPr>
          <w:sz w:val="22"/>
        </w:rPr>
        <w:t>på helse- og omsorgstjenester</w:t>
      </w:r>
      <w:r w:rsidR="00C57E04">
        <w:rPr>
          <w:sz w:val="22"/>
        </w:rPr>
        <w:t>.</w:t>
      </w:r>
      <w:r w:rsidRPr="00181807">
        <w:rPr>
          <w:sz w:val="22"/>
        </w:rPr>
        <w:t xml:space="preserve"> Den økonomiske belastningen med å betale for advokat selv, vil for mange bli for stor.</w:t>
      </w:r>
    </w:p>
    <w:p w14:paraId="419C5DB7" w14:textId="77777777" w:rsidR="00D2190A" w:rsidRPr="00181807" w:rsidRDefault="00D2190A" w:rsidP="00D2190A">
      <w:pPr>
        <w:rPr>
          <w:sz w:val="22"/>
        </w:rPr>
      </w:pPr>
    </w:p>
    <w:p w14:paraId="26C41072" w14:textId="77777777" w:rsidR="00D2190A" w:rsidRDefault="00D2190A" w:rsidP="00D2190A">
      <w:pPr>
        <w:rPr>
          <w:sz w:val="22"/>
        </w:rPr>
      </w:pPr>
      <w:r>
        <w:rPr>
          <w:sz w:val="22"/>
        </w:rPr>
        <w:t xml:space="preserve">FFO mener det ikke er nok med en oppmykning av dispensasjonspraksis om at det kan innvilges fri rettshjelp selv om inntekts- og formuesgrensene i </w:t>
      </w:r>
      <w:proofErr w:type="spellStart"/>
      <w:r>
        <w:rPr>
          <w:sz w:val="22"/>
        </w:rPr>
        <w:t>rettshjelpforskriften</w:t>
      </w:r>
      <w:proofErr w:type="spellEnd"/>
      <w:r>
        <w:rPr>
          <w:sz w:val="22"/>
        </w:rPr>
        <w:t xml:space="preserve"> § 1-1 er overskredet</w:t>
      </w:r>
      <w:r w:rsidRPr="009322BF">
        <w:rPr>
          <w:sz w:val="22"/>
        </w:rPr>
        <w:t xml:space="preserve">. </w:t>
      </w:r>
      <w:r w:rsidR="004D22BE" w:rsidRPr="009322BF">
        <w:rPr>
          <w:sz w:val="22"/>
        </w:rPr>
        <w:t xml:space="preserve">Det er som nevnt ovenfor </w:t>
      </w:r>
      <w:r w:rsidR="00401731" w:rsidRPr="009322BF">
        <w:rPr>
          <w:sz w:val="22"/>
        </w:rPr>
        <w:t>positivt med en generell dispensasjonsadgang, men det er ikke nok. For</w:t>
      </w:r>
      <w:r w:rsidR="00401731">
        <w:rPr>
          <w:sz w:val="22"/>
        </w:rPr>
        <w:t xml:space="preserve"> det første vil en dispensasjon måtte bero på en individuell vurdering i hver enkelt tilfelle, og det kan da oppstå forskjeller når det gjelder praktiseringen. En dispensasjonsadgang vil videre være en sikkerhetsventil og skal ikke være hovedregelen. Det er derfor i tillegg behov for en økning av inntektsgrensene.</w:t>
      </w:r>
    </w:p>
    <w:p w14:paraId="4AB7AC85" w14:textId="77777777" w:rsidR="00D2190A" w:rsidRPr="00181807" w:rsidRDefault="00D2190A" w:rsidP="00D2190A">
      <w:pPr>
        <w:rPr>
          <w:sz w:val="22"/>
        </w:rPr>
      </w:pPr>
    </w:p>
    <w:p w14:paraId="0362529F" w14:textId="77777777" w:rsidR="00D2190A" w:rsidRPr="00181807" w:rsidRDefault="00D2190A" w:rsidP="00D2190A">
      <w:pPr>
        <w:rPr>
          <w:sz w:val="22"/>
        </w:rPr>
      </w:pPr>
      <w:r w:rsidRPr="00181807">
        <w:rPr>
          <w:sz w:val="22"/>
        </w:rPr>
        <w:t>FFO mener dagens inntektsgrense bidrar til å opp</w:t>
      </w:r>
      <w:r w:rsidR="00401731">
        <w:rPr>
          <w:sz w:val="22"/>
        </w:rPr>
        <w:t>rettholde sosiale forskjeller. Vi mener i</w:t>
      </w:r>
      <w:r w:rsidRPr="00181807">
        <w:rPr>
          <w:sz w:val="22"/>
        </w:rPr>
        <w:t xml:space="preserve">nntektsgrensen må heves i samsvar med det som til enhver tid anses som tilfredsstillende levestandard i Norge. </w:t>
      </w:r>
      <w:r>
        <w:rPr>
          <w:sz w:val="22"/>
        </w:rPr>
        <w:t>Vi</w:t>
      </w:r>
      <w:r w:rsidRPr="00181807">
        <w:rPr>
          <w:sz w:val="22"/>
        </w:rPr>
        <w:t xml:space="preserve"> mener det bør vurderes å knytte inntektsgrensen for fri rettshjelp til folketrygdens grunnbeløp </w:t>
      </w:r>
      <w:r>
        <w:rPr>
          <w:sz w:val="22"/>
        </w:rPr>
        <w:t xml:space="preserve">(G) </w:t>
      </w:r>
      <w:r w:rsidRPr="00181807">
        <w:rPr>
          <w:sz w:val="22"/>
        </w:rPr>
        <w:t>slik at det blir en årlig justering.</w:t>
      </w:r>
    </w:p>
    <w:p w14:paraId="6E084B3E" w14:textId="77777777" w:rsidR="00D2190A" w:rsidRPr="00181807" w:rsidRDefault="00D2190A" w:rsidP="00D2190A">
      <w:pPr>
        <w:rPr>
          <w:sz w:val="22"/>
        </w:rPr>
      </w:pPr>
    </w:p>
    <w:p w14:paraId="4F3B6D2D" w14:textId="41E53435" w:rsidR="00D2190A" w:rsidRPr="003867E9" w:rsidRDefault="00A03724" w:rsidP="00D2190A">
      <w:pPr>
        <w:pStyle w:val="PunktlisteFFO"/>
        <w:numPr>
          <w:ilvl w:val="0"/>
          <w:numId w:val="0"/>
        </w:numPr>
        <w:spacing w:after="0" w:line="240" w:lineRule="auto"/>
        <w:rPr>
          <w:rFonts w:eastAsia="Times New Roman"/>
          <w:i w:val="0"/>
          <w:szCs w:val="24"/>
          <w:lang w:eastAsia="nb-NO"/>
        </w:rPr>
      </w:pPr>
      <w:r w:rsidRPr="00A03724">
        <w:rPr>
          <w:rFonts w:cs="Arial"/>
        </w:rPr>
        <w:drawing>
          <wp:anchor distT="0" distB="0" distL="114300" distR="114300" simplePos="0" relativeHeight="251658240" behindDoc="1" locked="0" layoutInCell="1" allowOverlap="1" wp14:anchorId="0F7CF5E1" wp14:editId="2FCB3EEF">
            <wp:simplePos x="0" y="0"/>
            <wp:positionH relativeFrom="column">
              <wp:posOffset>672148</wp:posOffset>
            </wp:positionH>
            <wp:positionV relativeFrom="paragraph">
              <wp:posOffset>554673</wp:posOffset>
            </wp:positionV>
            <wp:extent cx="699821" cy="2521585"/>
            <wp:effectExtent l="3492" t="0" r="8573" b="8572"/>
            <wp:wrapNone/>
            <wp:docPr id="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99821" cy="2521585"/>
                    </a:xfrm>
                    <a:prstGeom prst="rect">
                      <a:avLst/>
                    </a:prstGeom>
                  </pic:spPr>
                </pic:pic>
              </a:graphicData>
            </a:graphic>
            <wp14:sizeRelH relativeFrom="page">
              <wp14:pctWidth>0</wp14:pctWidth>
            </wp14:sizeRelH>
            <wp14:sizeRelV relativeFrom="page">
              <wp14:pctHeight>0</wp14:pctHeight>
            </wp14:sizeRelV>
          </wp:anchor>
        </w:drawing>
      </w:r>
      <w:r w:rsidR="00D2190A" w:rsidRPr="003867E9">
        <w:rPr>
          <w:rFonts w:eastAsia="Times New Roman"/>
          <w:i w:val="0"/>
          <w:szCs w:val="24"/>
          <w:lang w:eastAsia="nb-NO"/>
        </w:rPr>
        <w:t xml:space="preserve">FFO </w:t>
      </w:r>
      <w:r w:rsidR="00D2190A">
        <w:rPr>
          <w:rFonts w:eastAsia="Times New Roman"/>
          <w:i w:val="0"/>
          <w:szCs w:val="24"/>
          <w:lang w:eastAsia="nb-NO"/>
        </w:rPr>
        <w:t>mener</w:t>
      </w:r>
      <w:r w:rsidR="00D2190A" w:rsidRPr="003867E9">
        <w:rPr>
          <w:rFonts w:eastAsia="Times New Roman"/>
          <w:i w:val="0"/>
          <w:szCs w:val="24"/>
          <w:lang w:eastAsia="nb-NO"/>
        </w:rPr>
        <w:t xml:space="preserve"> inntektsgrensene for fri rettshjelp</w:t>
      </w:r>
      <w:r w:rsidR="00D2190A">
        <w:rPr>
          <w:rFonts w:eastAsia="Times New Roman"/>
          <w:i w:val="0"/>
          <w:szCs w:val="24"/>
          <w:lang w:eastAsia="nb-NO"/>
        </w:rPr>
        <w:t xml:space="preserve"> i første omgang må heves</w:t>
      </w:r>
      <w:r w:rsidR="00D2190A" w:rsidRPr="003867E9">
        <w:rPr>
          <w:rFonts w:eastAsia="Times New Roman"/>
          <w:i w:val="0"/>
          <w:szCs w:val="24"/>
          <w:lang w:eastAsia="nb-NO"/>
        </w:rPr>
        <w:t xml:space="preserve"> til minimum 4G for enslige og 7G for ektefeller og samboere. I tillegg bør det </w:t>
      </w:r>
      <w:r w:rsidR="00B3651F">
        <w:rPr>
          <w:rFonts w:eastAsia="Times New Roman"/>
          <w:i w:val="0"/>
          <w:szCs w:val="24"/>
          <w:lang w:eastAsia="nb-NO"/>
        </w:rPr>
        <w:t>generelle</w:t>
      </w:r>
      <w:r w:rsidR="00B3651F" w:rsidRPr="003867E9">
        <w:rPr>
          <w:rFonts w:eastAsia="Times New Roman"/>
          <w:i w:val="0"/>
          <w:szCs w:val="24"/>
          <w:lang w:eastAsia="nb-NO"/>
        </w:rPr>
        <w:t xml:space="preserve"> </w:t>
      </w:r>
      <w:r w:rsidR="00D2190A" w:rsidRPr="003867E9">
        <w:rPr>
          <w:rFonts w:eastAsia="Times New Roman"/>
          <w:i w:val="0"/>
          <w:szCs w:val="24"/>
          <w:lang w:eastAsia="nb-NO"/>
        </w:rPr>
        <w:t>unntak</w:t>
      </w:r>
      <w:r w:rsidR="00B3651F">
        <w:rPr>
          <w:rFonts w:eastAsia="Times New Roman"/>
          <w:i w:val="0"/>
          <w:szCs w:val="24"/>
          <w:lang w:eastAsia="nb-NO"/>
        </w:rPr>
        <w:t>et</w:t>
      </w:r>
      <w:r w:rsidR="00D2190A" w:rsidRPr="003867E9">
        <w:rPr>
          <w:rFonts w:eastAsia="Times New Roman"/>
          <w:i w:val="0"/>
          <w:szCs w:val="24"/>
          <w:lang w:eastAsia="nb-NO"/>
        </w:rPr>
        <w:t xml:space="preserve"> fra inntektsgrensen</w:t>
      </w:r>
      <w:r w:rsidR="00B3651F">
        <w:rPr>
          <w:rFonts w:eastAsia="Times New Roman"/>
          <w:i w:val="0"/>
          <w:szCs w:val="24"/>
          <w:lang w:eastAsia="nb-NO"/>
        </w:rPr>
        <w:t xml:space="preserve"> videreføres og styrkes</w:t>
      </w:r>
      <w:r w:rsidR="00D2190A" w:rsidRPr="003867E9">
        <w:rPr>
          <w:rFonts w:eastAsia="Times New Roman"/>
          <w:i w:val="0"/>
          <w:szCs w:val="24"/>
          <w:lang w:eastAsia="nb-NO"/>
        </w:rPr>
        <w:t xml:space="preserve"> slik at reell betalingsevne vurderes, særlig når det gjelder forsørgeransvar og sykdomsutgifter. </w:t>
      </w:r>
    </w:p>
    <w:p w14:paraId="35D847AB" w14:textId="1344650C" w:rsidR="00D2190A" w:rsidRPr="001112AA" w:rsidRDefault="00D2190A" w:rsidP="0096792B">
      <w:pPr>
        <w:rPr>
          <w:sz w:val="22"/>
          <w:szCs w:val="22"/>
        </w:rPr>
      </w:pPr>
    </w:p>
    <w:p w14:paraId="45422950" w14:textId="77777777" w:rsidR="00361942" w:rsidRPr="007E6B14" w:rsidRDefault="00361942" w:rsidP="00361942">
      <w:pPr>
        <w:rPr>
          <w:sz w:val="22"/>
          <w:szCs w:val="22"/>
        </w:rPr>
      </w:pPr>
    </w:p>
    <w:p w14:paraId="1637B2C3" w14:textId="77777777" w:rsidR="001C075E" w:rsidRDefault="001C075E" w:rsidP="00B72F35">
      <w:pPr>
        <w:rPr>
          <w:sz w:val="22"/>
          <w:szCs w:val="22"/>
        </w:rPr>
      </w:pPr>
    </w:p>
    <w:p w14:paraId="71D1AE5D" w14:textId="77777777" w:rsidR="00B72F35" w:rsidRPr="00FA46B2" w:rsidRDefault="00B72F35" w:rsidP="00B72F35">
      <w:pPr>
        <w:rPr>
          <w:sz w:val="22"/>
          <w:szCs w:val="22"/>
        </w:rPr>
      </w:pPr>
      <w:r w:rsidRPr="00FA46B2">
        <w:rPr>
          <w:sz w:val="22"/>
          <w:szCs w:val="22"/>
        </w:rPr>
        <w:t>Med vennlig hilsen</w:t>
      </w:r>
    </w:p>
    <w:p w14:paraId="141B2996" w14:textId="77777777" w:rsidR="00B72F35" w:rsidRDefault="00603CF3" w:rsidP="00B72F35">
      <w:pPr>
        <w:rPr>
          <w:rFonts w:cs="Arial"/>
          <w:b/>
          <w:sz w:val="22"/>
          <w:szCs w:val="22"/>
        </w:rPr>
      </w:pPr>
      <w:r w:rsidRPr="00FA46B2">
        <w:rPr>
          <w:rFonts w:cs="Arial"/>
          <w:b/>
          <w:sz w:val="22"/>
          <w:szCs w:val="22"/>
        </w:rPr>
        <w:t>FUNKSJONSHEMMEDES FELLESORGANISASJON</w:t>
      </w:r>
    </w:p>
    <w:p w14:paraId="71172672" w14:textId="4C752E1D" w:rsidR="00122686" w:rsidRDefault="00122686" w:rsidP="00B72F35">
      <w:pPr>
        <w:rPr>
          <w:rFonts w:cs="Arial"/>
          <w:b/>
          <w:sz w:val="22"/>
          <w:szCs w:val="22"/>
        </w:rPr>
      </w:pPr>
    </w:p>
    <w:p w14:paraId="1645F2B7" w14:textId="53259F88" w:rsidR="00E6260D" w:rsidRDefault="00E6260D" w:rsidP="00B72F35">
      <w:pPr>
        <w:rPr>
          <w:rFonts w:cs="Arial"/>
          <w:sz w:val="22"/>
          <w:szCs w:val="22"/>
        </w:rPr>
      </w:pPr>
    </w:p>
    <w:p w14:paraId="1CCB63FB" w14:textId="77777777" w:rsidR="00E6260D" w:rsidRDefault="00E6260D" w:rsidP="00B72F35">
      <w:pPr>
        <w:rPr>
          <w:rFonts w:cs="Arial"/>
          <w:sz w:val="22"/>
          <w:szCs w:val="22"/>
        </w:rPr>
      </w:pPr>
    </w:p>
    <w:p w14:paraId="2E618EE8" w14:textId="25B687EF" w:rsidR="00122686" w:rsidRPr="00A03724" w:rsidRDefault="008F09D1" w:rsidP="00B72F35">
      <w:pPr>
        <w:rPr>
          <w:rFonts w:cs="Arial"/>
          <w:b/>
          <w:sz w:val="22"/>
          <w:szCs w:val="22"/>
        </w:rPr>
      </w:pPr>
      <w:r>
        <w:rPr>
          <w:rFonts w:cs="Arial"/>
          <w:sz w:val="22"/>
          <w:szCs w:val="22"/>
        </w:rPr>
        <w:t>Ingunn E. Ulfsten</w:t>
      </w:r>
      <w:r w:rsidR="00AB2C64">
        <w:rPr>
          <w:rFonts w:cs="Arial"/>
          <w:sz w:val="22"/>
          <w:szCs w:val="22"/>
        </w:rPr>
        <w:tab/>
      </w:r>
      <w:r w:rsidR="00AB2C64">
        <w:rPr>
          <w:rFonts w:cs="Arial"/>
          <w:sz w:val="22"/>
          <w:szCs w:val="22"/>
        </w:rPr>
        <w:tab/>
      </w:r>
      <w:r w:rsidR="00AB2C64">
        <w:rPr>
          <w:rFonts w:cs="Arial"/>
          <w:sz w:val="22"/>
          <w:szCs w:val="22"/>
        </w:rPr>
        <w:tab/>
      </w:r>
      <w:r w:rsidR="00AB2C64">
        <w:rPr>
          <w:rFonts w:cs="Arial"/>
          <w:sz w:val="22"/>
          <w:szCs w:val="22"/>
        </w:rPr>
        <w:tab/>
      </w:r>
      <w:r w:rsidR="00AB2C64">
        <w:rPr>
          <w:rFonts w:cs="Arial"/>
          <w:sz w:val="22"/>
          <w:szCs w:val="22"/>
        </w:rPr>
        <w:tab/>
      </w:r>
    </w:p>
    <w:p w14:paraId="6FB422E2" w14:textId="12280CBC" w:rsidR="00DF10C1" w:rsidRDefault="008F09D1">
      <w:pPr>
        <w:rPr>
          <w:sz w:val="22"/>
          <w:szCs w:val="22"/>
        </w:rPr>
      </w:pPr>
      <w:r>
        <w:rPr>
          <w:sz w:val="22"/>
          <w:szCs w:val="22"/>
        </w:rPr>
        <w:t>Fagpolitisk leder</w:t>
      </w:r>
      <w:bookmarkStart w:id="3" w:name="_GoBack"/>
      <w:bookmarkEnd w:id="3"/>
      <w:r w:rsidR="00AB2C64">
        <w:rPr>
          <w:sz w:val="22"/>
          <w:szCs w:val="22"/>
        </w:rPr>
        <w:tab/>
      </w:r>
      <w:r w:rsidR="00AB2C64">
        <w:rPr>
          <w:sz w:val="22"/>
          <w:szCs w:val="22"/>
        </w:rPr>
        <w:tab/>
      </w:r>
      <w:r w:rsidR="00AB2C64">
        <w:rPr>
          <w:sz w:val="22"/>
          <w:szCs w:val="22"/>
        </w:rPr>
        <w:tab/>
      </w:r>
      <w:r w:rsidR="00AB2C64">
        <w:rPr>
          <w:sz w:val="22"/>
          <w:szCs w:val="22"/>
        </w:rPr>
        <w:tab/>
      </w:r>
      <w:r w:rsidR="00AB2C64">
        <w:rPr>
          <w:sz w:val="22"/>
          <w:szCs w:val="22"/>
        </w:rPr>
        <w:tab/>
      </w:r>
      <w:r w:rsidR="00AB2C64">
        <w:rPr>
          <w:sz w:val="22"/>
          <w:szCs w:val="22"/>
        </w:rPr>
        <w:tab/>
      </w:r>
    </w:p>
    <w:sectPr w:rsidR="00DF10C1" w:rsidSect="000A6465">
      <w:footerReference w:type="default" r:id="rId9"/>
      <w:headerReference w:type="first" r:id="rId10"/>
      <w:footerReference w:type="first" r:id="rId11"/>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BE068" w14:textId="77777777" w:rsidR="00B57044" w:rsidRDefault="00B57044" w:rsidP="00B4261E">
      <w:r>
        <w:separator/>
      </w:r>
    </w:p>
  </w:endnote>
  <w:endnote w:type="continuationSeparator" w:id="0">
    <w:p w14:paraId="1837F136" w14:textId="77777777" w:rsidR="00B57044" w:rsidRDefault="00B57044" w:rsidP="00B4261E">
      <w:r>
        <w:continuationSeparator/>
      </w:r>
    </w:p>
  </w:endnote>
  <w:endnote w:type="continuationNotice" w:id="1">
    <w:p w14:paraId="2870F8B1" w14:textId="77777777" w:rsidR="00B57044" w:rsidRDefault="00B57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3348"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74CF913F" wp14:editId="5A041D30">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9864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DB1CAE">
                            <w:rPr>
                              <w:noProof/>
                              <w:sz w:val="20"/>
                            </w:rPr>
                            <w:t>5</w:t>
                          </w:r>
                          <w:r w:rsidRPr="00C07904">
                            <w:rPr>
                              <w:sz w:val="20"/>
                            </w:rPr>
                            <w:fldChar w:fldCharType="end"/>
                          </w:r>
                        </w:p>
                        <w:p w14:paraId="54322285"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F913F"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3EC9864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DB1CAE">
                      <w:rPr>
                        <w:noProof/>
                        <w:sz w:val="20"/>
                      </w:rPr>
                      <w:t>5</w:t>
                    </w:r>
                    <w:r w:rsidRPr="00C07904">
                      <w:rPr>
                        <w:sz w:val="20"/>
                      </w:rPr>
                      <w:fldChar w:fldCharType="end"/>
                    </w:r>
                  </w:p>
                  <w:p w14:paraId="54322285"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14:paraId="08E9FAF8"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proofErr w:type="gramStart"/>
    <w:r w:rsidR="00097384">
      <w:rPr>
        <w:rFonts w:cs="Arial"/>
        <w:sz w:val="18"/>
        <w:szCs w:val="20"/>
        <w:u w:val="single"/>
      </w:rPr>
      <w:t>post</w:t>
    </w:r>
    <w:r w:rsidRPr="00DF10C1">
      <w:rPr>
        <w:rFonts w:cs="Arial"/>
        <w:sz w:val="18"/>
        <w:szCs w:val="20"/>
        <w:u w:val="single"/>
      </w:rPr>
      <w:t>@ffo.no</w:t>
    </w:r>
    <w:r w:rsidRPr="005D0149">
      <w:rPr>
        <w:rFonts w:cs="Arial"/>
        <w:sz w:val="18"/>
        <w:szCs w:val="20"/>
      </w:rPr>
      <w:t xml:space="preserve">  |</w:t>
    </w:r>
    <w:proofErr w:type="gramEnd"/>
    <w:r w:rsidRPr="005D0149">
      <w:rPr>
        <w:rFonts w:cs="Arial"/>
        <w:sz w:val="18"/>
        <w:szCs w:val="20"/>
      </w:rPr>
      <w:t xml:space="preserve"> Bankgiro: 8380 08 64219 | Organisasjonsnummer: 970 954 406</w:t>
    </w:r>
  </w:p>
  <w:p w14:paraId="134DBD36"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E10A"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02493CB9" wp14:editId="4EAB49C4">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3280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DB1CAE">
                            <w:rPr>
                              <w:noProof/>
                              <w:sz w:val="20"/>
                            </w:rPr>
                            <w:t>1</w:t>
                          </w:r>
                          <w:r w:rsidRPr="002E2E8E">
                            <w:rPr>
                              <w:sz w:val="20"/>
                            </w:rPr>
                            <w:fldChar w:fldCharType="end"/>
                          </w:r>
                        </w:p>
                        <w:p w14:paraId="50327552"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93CB9"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B53280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DB1CAE">
                      <w:rPr>
                        <w:noProof/>
                        <w:sz w:val="20"/>
                      </w:rPr>
                      <w:t>1</w:t>
                    </w:r>
                    <w:r w:rsidRPr="002E2E8E">
                      <w:rPr>
                        <w:sz w:val="20"/>
                      </w:rPr>
                      <w:fldChar w:fldCharType="end"/>
                    </w:r>
                  </w:p>
                  <w:p w14:paraId="50327552"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14:paraId="059600AC" w14:textId="77777777" w:rsidR="00DF10C1" w:rsidRPr="002E2E8E" w:rsidRDefault="00DF10C1" w:rsidP="00DF10C1">
    <w:pPr>
      <w:pStyle w:val="Bunntekst"/>
      <w:tabs>
        <w:tab w:val="clear" w:pos="9072"/>
        <w:tab w:val="right" w:pos="9498"/>
      </w:tabs>
      <w:jc w:val="center"/>
      <w:rPr>
        <w:rFonts w:cs="Arial"/>
        <w:sz w:val="16"/>
        <w:szCs w:val="20"/>
      </w:rPr>
    </w:pPr>
    <w:r w:rsidRPr="00B16A96">
      <w:rPr>
        <w:rFonts w:cs="Arial"/>
        <w:sz w:val="16"/>
        <w:szCs w:val="20"/>
      </w:rPr>
      <w:t xml:space="preserve">Web: </w:t>
    </w:r>
    <w:r w:rsidRPr="00B16A96">
      <w:rPr>
        <w:rFonts w:cs="Arial"/>
        <w:sz w:val="16"/>
        <w:szCs w:val="20"/>
        <w:u w:val="single"/>
      </w:rPr>
      <w:t>www.ffo.no</w:t>
    </w:r>
    <w:r w:rsidRPr="00B16A96">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66A47743" w14:textId="77777777"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14:paraId="4E8028B2"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5BB8B" w14:textId="77777777" w:rsidR="00B57044" w:rsidRDefault="00B57044" w:rsidP="00B4261E">
      <w:r>
        <w:separator/>
      </w:r>
    </w:p>
  </w:footnote>
  <w:footnote w:type="continuationSeparator" w:id="0">
    <w:p w14:paraId="378E059B" w14:textId="77777777" w:rsidR="00B57044" w:rsidRDefault="00B57044" w:rsidP="00B4261E">
      <w:r>
        <w:continuationSeparator/>
      </w:r>
    </w:p>
  </w:footnote>
  <w:footnote w:type="continuationNotice" w:id="1">
    <w:p w14:paraId="01876074" w14:textId="77777777" w:rsidR="00B57044" w:rsidRDefault="00B57044"/>
  </w:footnote>
  <w:footnote w:id="2">
    <w:p w14:paraId="1C39C5C4" w14:textId="77777777" w:rsidR="001B2D06" w:rsidRDefault="001B2D06">
      <w:pPr>
        <w:pStyle w:val="Fotnotetekst"/>
      </w:pPr>
      <w:r w:rsidRPr="00882E9E">
        <w:footnoteRef/>
      </w:r>
      <w:r>
        <w:t xml:space="preserve"> </w:t>
      </w:r>
      <w:r w:rsidRPr="00882E9E">
        <w:t xml:space="preserve">St.meld.nr. 26 (2008-2009) Om </w:t>
      </w:r>
      <w:proofErr w:type="spellStart"/>
      <w:r w:rsidRPr="00882E9E">
        <w:t>offentleg</w:t>
      </w:r>
      <w:proofErr w:type="spellEnd"/>
      <w:r w:rsidRPr="00882E9E">
        <w:t xml:space="preserve"> rettshjelp – Rett hjelp, s. 60</w:t>
      </w:r>
    </w:p>
  </w:footnote>
  <w:footnote w:id="3">
    <w:p w14:paraId="6F64A759" w14:textId="77777777" w:rsidR="00CF4F63" w:rsidRDefault="00CF4F63">
      <w:pPr>
        <w:pStyle w:val="Fotnotetekst"/>
      </w:pPr>
      <w:r>
        <w:rPr>
          <w:rStyle w:val="Fotnotereferanse"/>
        </w:rPr>
        <w:footnoteRef/>
      </w:r>
      <w:r>
        <w:t xml:space="preserve"> Lov om fri rettshjelp § 11</w:t>
      </w:r>
    </w:p>
  </w:footnote>
  <w:footnote w:id="4">
    <w:p w14:paraId="0374F58D" w14:textId="77777777" w:rsidR="00EB18C5" w:rsidRDefault="00EB18C5" w:rsidP="00EB18C5">
      <w:pPr>
        <w:pStyle w:val="Fotnotetekst"/>
      </w:pPr>
      <w:r>
        <w:rPr>
          <w:rStyle w:val="Fotnotereferanse"/>
        </w:rPr>
        <w:footnoteRef/>
      </w:r>
      <w:r>
        <w:t xml:space="preserve"> Folketrygdloven</w:t>
      </w:r>
      <w:r w:rsidR="00BD1BA9">
        <w:t xml:space="preserve"> </w:t>
      </w:r>
      <w:r>
        <w:t>§ 1-1, 1. ledd</w:t>
      </w:r>
    </w:p>
  </w:footnote>
  <w:footnote w:id="5">
    <w:p w14:paraId="38FCCB36" w14:textId="77777777" w:rsidR="004B6EDC" w:rsidRDefault="004B6EDC">
      <w:pPr>
        <w:pStyle w:val="Fotnotetekst"/>
      </w:pPr>
      <w:r>
        <w:rPr>
          <w:rStyle w:val="Fotnotereferanse"/>
        </w:rPr>
        <w:footnoteRef/>
      </w:r>
      <w:r>
        <w:t xml:space="preserve"> </w:t>
      </w:r>
      <w:r w:rsidRPr="004B6EDC">
        <w:t>St.meld.nr. 26 (2008-2009), s. 61-62</w:t>
      </w:r>
    </w:p>
  </w:footnote>
  <w:footnote w:id="6">
    <w:p w14:paraId="550C97CE" w14:textId="77777777" w:rsidR="004B6EDC" w:rsidRDefault="004B6EDC">
      <w:pPr>
        <w:pStyle w:val="Fotnotetekst"/>
      </w:pPr>
      <w:r>
        <w:rPr>
          <w:rStyle w:val="Fotnotereferanse"/>
        </w:rPr>
        <w:footnoteRef/>
      </w:r>
      <w:r>
        <w:t xml:space="preserve"> </w:t>
      </w:r>
      <w:proofErr w:type="spellStart"/>
      <w:r>
        <w:t>I</w:t>
      </w:r>
      <w:r w:rsidRPr="004B6EDC">
        <w:t>bid</w:t>
      </w:r>
      <w:proofErr w:type="spellEnd"/>
      <w:r w:rsidRPr="004B6EDC">
        <w:t>, s.60</w:t>
      </w:r>
    </w:p>
  </w:footnote>
  <w:footnote w:id="7">
    <w:p w14:paraId="5F2894B9" w14:textId="21E583BC" w:rsidR="00B81154" w:rsidRDefault="00B81154">
      <w:pPr>
        <w:pStyle w:val="Fotnotetekst"/>
      </w:pPr>
      <w:r>
        <w:rPr>
          <w:rStyle w:val="Fotnotereferanse"/>
        </w:rPr>
        <w:footnoteRef/>
      </w:r>
      <w:r>
        <w:t xml:space="preserve"> </w:t>
      </w:r>
      <w:r w:rsidRPr="00B81154">
        <w:rPr>
          <w:rFonts w:ascii="Arial" w:hAnsi="Arial" w:cs="Arial"/>
          <w:sz w:val="16"/>
        </w:rPr>
        <w:t xml:space="preserve">Alternativ rapport til FN-komiteen fra sivilt </w:t>
      </w:r>
      <w:r w:rsidR="00DA3DD1" w:rsidRPr="00B81154">
        <w:rPr>
          <w:rFonts w:ascii="Arial" w:hAnsi="Arial" w:cs="Arial"/>
          <w:sz w:val="16"/>
        </w:rPr>
        <w:t>samfunn</w:t>
      </w:r>
      <w:r w:rsidRPr="00B81154">
        <w:rPr>
          <w:rFonts w:ascii="Arial" w:hAnsi="Arial" w:cs="Arial"/>
          <w:sz w:val="16"/>
        </w:rPr>
        <w:t xml:space="preserve"> i Norge (2015)</w:t>
      </w:r>
    </w:p>
  </w:footnote>
  <w:footnote w:id="8">
    <w:p w14:paraId="32DE63B6" w14:textId="77777777" w:rsidR="00521838" w:rsidRDefault="00521838">
      <w:pPr>
        <w:pStyle w:val="Fotnotetekst"/>
      </w:pPr>
      <w:r>
        <w:rPr>
          <w:rStyle w:val="Fotnotereferanse"/>
        </w:rPr>
        <w:footnoteRef/>
      </w:r>
      <w:r>
        <w:t xml:space="preserve"> </w:t>
      </w:r>
      <w:r w:rsidRPr="00C04164">
        <w:rPr>
          <w:rFonts w:ascii="Arial" w:hAnsi="Arial" w:cs="Arial"/>
          <w:sz w:val="16"/>
        </w:rPr>
        <w:t xml:space="preserve">Else Leona </w:t>
      </w:r>
      <w:proofErr w:type="spellStart"/>
      <w:r w:rsidRPr="00C04164">
        <w:rPr>
          <w:rFonts w:ascii="Arial" w:hAnsi="Arial" w:cs="Arial"/>
          <w:sz w:val="16"/>
        </w:rPr>
        <w:t>McClimans</w:t>
      </w:r>
      <w:proofErr w:type="spellEnd"/>
      <w:r>
        <w:rPr>
          <w:rFonts w:ascii="Arial" w:hAnsi="Arial" w:cs="Arial"/>
          <w:sz w:val="16"/>
        </w:rPr>
        <w:t xml:space="preserve"> (2013)</w:t>
      </w:r>
      <w:r w:rsidRPr="00C04164">
        <w:rPr>
          <w:rFonts w:ascii="Arial" w:hAnsi="Arial" w:cs="Arial"/>
          <w:sz w:val="16"/>
        </w:rPr>
        <w:t>: Utviklingen av funksjonshemmedes rettssituasjon de siste 10 år</w:t>
      </w:r>
    </w:p>
  </w:footnote>
  <w:footnote w:id="9">
    <w:p w14:paraId="18A4032E" w14:textId="77777777" w:rsidR="00F31975" w:rsidRDefault="00F31975">
      <w:pPr>
        <w:pStyle w:val="Fotnotetekst"/>
      </w:pPr>
      <w:r>
        <w:rPr>
          <w:rStyle w:val="Fotnotereferanse"/>
        </w:rPr>
        <w:footnoteRef/>
      </w:r>
      <w:r>
        <w:t xml:space="preserve"> Opplæringsloven § 2-1</w:t>
      </w:r>
    </w:p>
  </w:footnote>
  <w:footnote w:id="10">
    <w:p w14:paraId="1738543D" w14:textId="327ED549" w:rsidR="0039069D" w:rsidRDefault="0039069D">
      <w:pPr>
        <w:pStyle w:val="Fotnotetekst"/>
      </w:pPr>
      <w:r>
        <w:rPr>
          <w:rStyle w:val="Fotnotereferanse"/>
        </w:rPr>
        <w:footnoteRef/>
      </w:r>
      <w:r>
        <w:t xml:space="preserve"> </w:t>
      </w:r>
      <w:r w:rsidRPr="00C04164">
        <w:rPr>
          <w:rFonts w:ascii="Arial" w:hAnsi="Arial" w:cs="Arial"/>
          <w:sz w:val="16"/>
        </w:rPr>
        <w:t xml:space="preserve">Else Leona </w:t>
      </w:r>
      <w:proofErr w:type="spellStart"/>
      <w:r w:rsidRPr="00C04164">
        <w:rPr>
          <w:rFonts w:ascii="Arial" w:hAnsi="Arial" w:cs="Arial"/>
          <w:sz w:val="16"/>
        </w:rPr>
        <w:t>McClimans</w:t>
      </w:r>
      <w:proofErr w:type="spellEnd"/>
      <w:r>
        <w:rPr>
          <w:rFonts w:ascii="Arial" w:hAnsi="Arial" w:cs="Arial"/>
          <w:sz w:val="16"/>
        </w:rPr>
        <w:t xml:space="preserve"> (2013)</w:t>
      </w:r>
      <w:r w:rsidRPr="00C04164">
        <w:rPr>
          <w:rFonts w:ascii="Arial" w:hAnsi="Arial" w:cs="Arial"/>
          <w:sz w:val="16"/>
        </w:rPr>
        <w:t>: Utviklingen av funksjonshemmedes rettssituasjon de siste 10 år</w:t>
      </w:r>
    </w:p>
  </w:footnote>
  <w:footnote w:id="11">
    <w:p w14:paraId="671AA8D1" w14:textId="77777777" w:rsidR="001112AA" w:rsidRDefault="001112AA">
      <w:pPr>
        <w:pStyle w:val="Fotnotetekst"/>
      </w:pPr>
      <w:r>
        <w:rPr>
          <w:rStyle w:val="Fotnotereferanse"/>
        </w:rPr>
        <w:footnoteRef/>
      </w:r>
      <w:r>
        <w:t xml:space="preserve"> </w:t>
      </w:r>
      <w:r w:rsidRPr="00F3116D">
        <w:rPr>
          <w:rFonts w:ascii="Arial" w:hAnsi="Arial" w:cs="Arial"/>
          <w:sz w:val="16"/>
        </w:rPr>
        <w:t>Olaf Halvorsen Rønning &amp; Heike Bentsen: Bruken av unntaksbestemmelsene i lov om fri rettshjelp (2008)</w:t>
      </w:r>
    </w:p>
  </w:footnote>
  <w:footnote w:id="12">
    <w:p w14:paraId="04CB411B" w14:textId="77777777" w:rsidR="00D2190A" w:rsidRPr="00BC3C81" w:rsidRDefault="00D2190A" w:rsidP="00D2190A">
      <w:pPr>
        <w:pStyle w:val="Fotnotetekst"/>
        <w:rPr>
          <w:rFonts w:ascii="Arial" w:hAnsi="Arial" w:cs="Arial"/>
          <w:sz w:val="18"/>
        </w:rPr>
      </w:pPr>
      <w:r w:rsidRPr="00F3116D">
        <w:rPr>
          <w:rStyle w:val="Fotnotereferanse"/>
          <w:rFonts w:ascii="Arial" w:hAnsi="Arial" w:cs="Arial"/>
          <w:sz w:val="16"/>
        </w:rPr>
        <w:footnoteRef/>
      </w:r>
      <w:r w:rsidRPr="00F3116D">
        <w:rPr>
          <w:rFonts w:ascii="Arial" w:hAnsi="Arial" w:cs="Arial"/>
          <w:sz w:val="16"/>
        </w:rPr>
        <w:t xml:space="preserve"> Forskrift til lov om fri rettshjelp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590A" w14:textId="77777777" w:rsidR="00DF10C1" w:rsidRDefault="00DF10C1">
    <w:pPr>
      <w:pStyle w:val="Topptekst"/>
    </w:pPr>
    <w:r w:rsidRPr="00DF10C1">
      <w:rPr>
        <w:noProof/>
      </w:rPr>
      <mc:AlternateContent>
        <mc:Choice Requires="wpg">
          <w:drawing>
            <wp:anchor distT="0" distB="0" distL="114300" distR="114300" simplePos="0" relativeHeight="251679232" behindDoc="0" locked="0" layoutInCell="1" allowOverlap="1" wp14:anchorId="6AE0ABA7" wp14:editId="482611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1D156CE"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6A7B24CB"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AE0ABA7" id="Gruppe 3" o:spid="_x0000_s1027"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51D156CE"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6A7B24CB"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776B71A7" wp14:editId="6FF417FD">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DAF"/>
    <w:multiLevelType w:val="hybridMultilevel"/>
    <w:tmpl w:val="126659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ADF2117"/>
    <w:multiLevelType w:val="hybridMultilevel"/>
    <w:tmpl w:val="1B423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1A3394E"/>
    <w:multiLevelType w:val="hybridMultilevel"/>
    <w:tmpl w:val="3B50C3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42C072F3"/>
    <w:multiLevelType w:val="hybridMultilevel"/>
    <w:tmpl w:val="CE1237C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3600B6F"/>
    <w:multiLevelType w:val="hybridMultilevel"/>
    <w:tmpl w:val="B42C8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F67C32"/>
    <w:multiLevelType w:val="hybridMultilevel"/>
    <w:tmpl w:val="7E527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7016EF"/>
    <w:multiLevelType w:val="hybridMultilevel"/>
    <w:tmpl w:val="BCB0460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96"/>
    <w:rsid w:val="000054FF"/>
    <w:rsid w:val="00007279"/>
    <w:rsid w:val="00020D21"/>
    <w:rsid w:val="00033486"/>
    <w:rsid w:val="00042944"/>
    <w:rsid w:val="00046399"/>
    <w:rsid w:val="0004772D"/>
    <w:rsid w:val="00054890"/>
    <w:rsid w:val="00054E05"/>
    <w:rsid w:val="0005514B"/>
    <w:rsid w:val="000573BC"/>
    <w:rsid w:val="000603A7"/>
    <w:rsid w:val="00076044"/>
    <w:rsid w:val="0008081A"/>
    <w:rsid w:val="0008375E"/>
    <w:rsid w:val="00084622"/>
    <w:rsid w:val="00087592"/>
    <w:rsid w:val="00091F9D"/>
    <w:rsid w:val="00097384"/>
    <w:rsid w:val="000A2B13"/>
    <w:rsid w:val="000A4926"/>
    <w:rsid w:val="000A57C5"/>
    <w:rsid w:val="000A6465"/>
    <w:rsid w:val="000B01F4"/>
    <w:rsid w:val="000C2D97"/>
    <w:rsid w:val="000D227C"/>
    <w:rsid w:val="000D41C6"/>
    <w:rsid w:val="000D4E5E"/>
    <w:rsid w:val="000F68FB"/>
    <w:rsid w:val="000F6E0F"/>
    <w:rsid w:val="000F754B"/>
    <w:rsid w:val="00100EAB"/>
    <w:rsid w:val="001053BE"/>
    <w:rsid w:val="00105703"/>
    <w:rsid w:val="00110B4E"/>
    <w:rsid w:val="001112AA"/>
    <w:rsid w:val="001217C2"/>
    <w:rsid w:val="00122686"/>
    <w:rsid w:val="00155DEA"/>
    <w:rsid w:val="001704E7"/>
    <w:rsid w:val="00172AE3"/>
    <w:rsid w:val="00176115"/>
    <w:rsid w:val="001771FF"/>
    <w:rsid w:val="00191874"/>
    <w:rsid w:val="00194D37"/>
    <w:rsid w:val="001A036D"/>
    <w:rsid w:val="001A1E02"/>
    <w:rsid w:val="001B13BD"/>
    <w:rsid w:val="001B2D06"/>
    <w:rsid w:val="001C075E"/>
    <w:rsid w:val="001C4464"/>
    <w:rsid w:val="001C4D00"/>
    <w:rsid w:val="001D505E"/>
    <w:rsid w:val="001F7F0A"/>
    <w:rsid w:val="002006B4"/>
    <w:rsid w:val="00225952"/>
    <w:rsid w:val="00226001"/>
    <w:rsid w:val="00235176"/>
    <w:rsid w:val="00236052"/>
    <w:rsid w:val="002365D8"/>
    <w:rsid w:val="0025376E"/>
    <w:rsid w:val="00261C69"/>
    <w:rsid w:val="00263AE3"/>
    <w:rsid w:val="00264791"/>
    <w:rsid w:val="00285D6A"/>
    <w:rsid w:val="002A28EA"/>
    <w:rsid w:val="002A4F92"/>
    <w:rsid w:val="002A597F"/>
    <w:rsid w:val="002C054D"/>
    <w:rsid w:val="002C70C4"/>
    <w:rsid w:val="002D2640"/>
    <w:rsid w:val="002E2E8E"/>
    <w:rsid w:val="002F3A57"/>
    <w:rsid w:val="002F757E"/>
    <w:rsid w:val="00300747"/>
    <w:rsid w:val="003047A4"/>
    <w:rsid w:val="00304854"/>
    <w:rsid w:val="00317773"/>
    <w:rsid w:val="00322911"/>
    <w:rsid w:val="00330FEB"/>
    <w:rsid w:val="00341FE0"/>
    <w:rsid w:val="003455BD"/>
    <w:rsid w:val="00361942"/>
    <w:rsid w:val="00374769"/>
    <w:rsid w:val="0039069D"/>
    <w:rsid w:val="00391B0F"/>
    <w:rsid w:val="003A5198"/>
    <w:rsid w:val="003B16A3"/>
    <w:rsid w:val="003B19B9"/>
    <w:rsid w:val="003B682F"/>
    <w:rsid w:val="003B6A29"/>
    <w:rsid w:val="003C0E1F"/>
    <w:rsid w:val="003C7C8E"/>
    <w:rsid w:val="003E103A"/>
    <w:rsid w:val="003E49C1"/>
    <w:rsid w:val="003F04F4"/>
    <w:rsid w:val="003F5B27"/>
    <w:rsid w:val="003F6A4A"/>
    <w:rsid w:val="00401731"/>
    <w:rsid w:val="00403B77"/>
    <w:rsid w:val="00405D83"/>
    <w:rsid w:val="0042147B"/>
    <w:rsid w:val="00432C40"/>
    <w:rsid w:val="00445CB1"/>
    <w:rsid w:val="004514F3"/>
    <w:rsid w:val="004524D3"/>
    <w:rsid w:val="00467B4B"/>
    <w:rsid w:val="004710B5"/>
    <w:rsid w:val="004734AF"/>
    <w:rsid w:val="00477AB4"/>
    <w:rsid w:val="00481A4E"/>
    <w:rsid w:val="00487CF7"/>
    <w:rsid w:val="004A1D08"/>
    <w:rsid w:val="004B6EDC"/>
    <w:rsid w:val="004B70ED"/>
    <w:rsid w:val="004C4DEF"/>
    <w:rsid w:val="004D22BE"/>
    <w:rsid w:val="004D2B15"/>
    <w:rsid w:val="004E145B"/>
    <w:rsid w:val="004F3597"/>
    <w:rsid w:val="005027FD"/>
    <w:rsid w:val="00502DEC"/>
    <w:rsid w:val="0050604E"/>
    <w:rsid w:val="00516AD1"/>
    <w:rsid w:val="005214F9"/>
    <w:rsid w:val="00521838"/>
    <w:rsid w:val="00525C5E"/>
    <w:rsid w:val="00525E24"/>
    <w:rsid w:val="0052795C"/>
    <w:rsid w:val="00531593"/>
    <w:rsid w:val="00531932"/>
    <w:rsid w:val="0054065D"/>
    <w:rsid w:val="005410FF"/>
    <w:rsid w:val="00552BDE"/>
    <w:rsid w:val="0056171C"/>
    <w:rsid w:val="00563F4D"/>
    <w:rsid w:val="00570E76"/>
    <w:rsid w:val="005844A2"/>
    <w:rsid w:val="00591598"/>
    <w:rsid w:val="005A6387"/>
    <w:rsid w:val="005B570F"/>
    <w:rsid w:val="005C6AB0"/>
    <w:rsid w:val="005C7F66"/>
    <w:rsid w:val="005D2E73"/>
    <w:rsid w:val="005D4DBF"/>
    <w:rsid w:val="005D509A"/>
    <w:rsid w:val="005D7695"/>
    <w:rsid w:val="005E78CC"/>
    <w:rsid w:val="005F00E7"/>
    <w:rsid w:val="005F0911"/>
    <w:rsid w:val="005F5A2D"/>
    <w:rsid w:val="00603CF3"/>
    <w:rsid w:val="006042AE"/>
    <w:rsid w:val="0061059F"/>
    <w:rsid w:val="0062604A"/>
    <w:rsid w:val="0062785C"/>
    <w:rsid w:val="00634F0D"/>
    <w:rsid w:val="00652216"/>
    <w:rsid w:val="006673C3"/>
    <w:rsid w:val="006756BB"/>
    <w:rsid w:val="00676B9F"/>
    <w:rsid w:val="00682168"/>
    <w:rsid w:val="00690279"/>
    <w:rsid w:val="006A0CA1"/>
    <w:rsid w:val="006A6062"/>
    <w:rsid w:val="006B0934"/>
    <w:rsid w:val="006C0BE9"/>
    <w:rsid w:val="006C195B"/>
    <w:rsid w:val="006D020C"/>
    <w:rsid w:val="006E7A77"/>
    <w:rsid w:val="006F3C67"/>
    <w:rsid w:val="006F473A"/>
    <w:rsid w:val="007021EF"/>
    <w:rsid w:val="00703ABE"/>
    <w:rsid w:val="00705766"/>
    <w:rsid w:val="00747981"/>
    <w:rsid w:val="00757A3C"/>
    <w:rsid w:val="00770F76"/>
    <w:rsid w:val="00786410"/>
    <w:rsid w:val="00797BC5"/>
    <w:rsid w:val="007A6B1A"/>
    <w:rsid w:val="007B095A"/>
    <w:rsid w:val="007B3B89"/>
    <w:rsid w:val="007D0252"/>
    <w:rsid w:val="007D06CC"/>
    <w:rsid w:val="007D717E"/>
    <w:rsid w:val="007E6B14"/>
    <w:rsid w:val="007F0411"/>
    <w:rsid w:val="007F0B50"/>
    <w:rsid w:val="007F122E"/>
    <w:rsid w:val="007F52ED"/>
    <w:rsid w:val="007F5D97"/>
    <w:rsid w:val="00800E77"/>
    <w:rsid w:val="00811299"/>
    <w:rsid w:val="008308A1"/>
    <w:rsid w:val="008324C0"/>
    <w:rsid w:val="00834816"/>
    <w:rsid w:val="00834AD4"/>
    <w:rsid w:val="0084120C"/>
    <w:rsid w:val="008538D7"/>
    <w:rsid w:val="00853AA5"/>
    <w:rsid w:val="00856AE3"/>
    <w:rsid w:val="008571F7"/>
    <w:rsid w:val="00867146"/>
    <w:rsid w:val="00882E9E"/>
    <w:rsid w:val="008942A1"/>
    <w:rsid w:val="008A2EF3"/>
    <w:rsid w:val="008C1ACB"/>
    <w:rsid w:val="008C1F6F"/>
    <w:rsid w:val="008C48E1"/>
    <w:rsid w:val="008E2209"/>
    <w:rsid w:val="008E24EC"/>
    <w:rsid w:val="008E443D"/>
    <w:rsid w:val="008E7699"/>
    <w:rsid w:val="008F08E5"/>
    <w:rsid w:val="008F09D1"/>
    <w:rsid w:val="008F4D74"/>
    <w:rsid w:val="009010EE"/>
    <w:rsid w:val="00903B27"/>
    <w:rsid w:val="00903FEB"/>
    <w:rsid w:val="009068AB"/>
    <w:rsid w:val="00923B82"/>
    <w:rsid w:val="009322BF"/>
    <w:rsid w:val="00936BAD"/>
    <w:rsid w:val="009517D7"/>
    <w:rsid w:val="00953210"/>
    <w:rsid w:val="0095389C"/>
    <w:rsid w:val="009603CD"/>
    <w:rsid w:val="00961955"/>
    <w:rsid w:val="0096792B"/>
    <w:rsid w:val="00985C06"/>
    <w:rsid w:val="00992AE1"/>
    <w:rsid w:val="00997598"/>
    <w:rsid w:val="009A2A78"/>
    <w:rsid w:val="009B26C0"/>
    <w:rsid w:val="009B777D"/>
    <w:rsid w:val="009C4E13"/>
    <w:rsid w:val="009E4120"/>
    <w:rsid w:val="009E7C99"/>
    <w:rsid w:val="009F73F0"/>
    <w:rsid w:val="00A02294"/>
    <w:rsid w:val="00A03724"/>
    <w:rsid w:val="00A03E31"/>
    <w:rsid w:val="00A03FFF"/>
    <w:rsid w:val="00A128F3"/>
    <w:rsid w:val="00A1365B"/>
    <w:rsid w:val="00A24357"/>
    <w:rsid w:val="00A2672C"/>
    <w:rsid w:val="00A31627"/>
    <w:rsid w:val="00A45860"/>
    <w:rsid w:val="00A61573"/>
    <w:rsid w:val="00A654E7"/>
    <w:rsid w:val="00A77143"/>
    <w:rsid w:val="00A85D0C"/>
    <w:rsid w:val="00A911A9"/>
    <w:rsid w:val="00A937AD"/>
    <w:rsid w:val="00A94DBE"/>
    <w:rsid w:val="00A97876"/>
    <w:rsid w:val="00AA2EE7"/>
    <w:rsid w:val="00AA34A9"/>
    <w:rsid w:val="00AB2C64"/>
    <w:rsid w:val="00AC4BD9"/>
    <w:rsid w:val="00AD0D6F"/>
    <w:rsid w:val="00AD6B94"/>
    <w:rsid w:val="00AD738A"/>
    <w:rsid w:val="00AE45F4"/>
    <w:rsid w:val="00AE6FB4"/>
    <w:rsid w:val="00AE7125"/>
    <w:rsid w:val="00AF18BD"/>
    <w:rsid w:val="00AF6A97"/>
    <w:rsid w:val="00AF7E9D"/>
    <w:rsid w:val="00B009E5"/>
    <w:rsid w:val="00B111A2"/>
    <w:rsid w:val="00B16A96"/>
    <w:rsid w:val="00B3651F"/>
    <w:rsid w:val="00B4261E"/>
    <w:rsid w:val="00B42B7E"/>
    <w:rsid w:val="00B52E0B"/>
    <w:rsid w:val="00B57044"/>
    <w:rsid w:val="00B63D6E"/>
    <w:rsid w:val="00B66317"/>
    <w:rsid w:val="00B66F84"/>
    <w:rsid w:val="00B72F35"/>
    <w:rsid w:val="00B75097"/>
    <w:rsid w:val="00B81154"/>
    <w:rsid w:val="00B91646"/>
    <w:rsid w:val="00B94232"/>
    <w:rsid w:val="00B94873"/>
    <w:rsid w:val="00B96D14"/>
    <w:rsid w:val="00BB2A41"/>
    <w:rsid w:val="00BB336D"/>
    <w:rsid w:val="00BD044E"/>
    <w:rsid w:val="00BD1BA9"/>
    <w:rsid w:val="00BD7753"/>
    <w:rsid w:val="00BE7690"/>
    <w:rsid w:val="00BE7F17"/>
    <w:rsid w:val="00BF0AD2"/>
    <w:rsid w:val="00C01D09"/>
    <w:rsid w:val="00C04164"/>
    <w:rsid w:val="00C07904"/>
    <w:rsid w:val="00C1248C"/>
    <w:rsid w:val="00C16261"/>
    <w:rsid w:val="00C242E2"/>
    <w:rsid w:val="00C279F7"/>
    <w:rsid w:val="00C429D8"/>
    <w:rsid w:val="00C44E34"/>
    <w:rsid w:val="00C46F8E"/>
    <w:rsid w:val="00C47D49"/>
    <w:rsid w:val="00C519DC"/>
    <w:rsid w:val="00C520CF"/>
    <w:rsid w:val="00C5288C"/>
    <w:rsid w:val="00C579BF"/>
    <w:rsid w:val="00C57E04"/>
    <w:rsid w:val="00C60478"/>
    <w:rsid w:val="00C6395E"/>
    <w:rsid w:val="00C64EBE"/>
    <w:rsid w:val="00C6687C"/>
    <w:rsid w:val="00C77987"/>
    <w:rsid w:val="00C80091"/>
    <w:rsid w:val="00C83CE3"/>
    <w:rsid w:val="00CA00E2"/>
    <w:rsid w:val="00CA045E"/>
    <w:rsid w:val="00CA436C"/>
    <w:rsid w:val="00CA45D3"/>
    <w:rsid w:val="00CD24F1"/>
    <w:rsid w:val="00CE37BC"/>
    <w:rsid w:val="00CE45CA"/>
    <w:rsid w:val="00CF3993"/>
    <w:rsid w:val="00CF4F63"/>
    <w:rsid w:val="00D1000A"/>
    <w:rsid w:val="00D2190A"/>
    <w:rsid w:val="00D231EA"/>
    <w:rsid w:val="00D24729"/>
    <w:rsid w:val="00D31F67"/>
    <w:rsid w:val="00D3736C"/>
    <w:rsid w:val="00D41107"/>
    <w:rsid w:val="00D5208E"/>
    <w:rsid w:val="00D557D9"/>
    <w:rsid w:val="00D56601"/>
    <w:rsid w:val="00D60735"/>
    <w:rsid w:val="00D64B96"/>
    <w:rsid w:val="00D66C61"/>
    <w:rsid w:val="00D67E80"/>
    <w:rsid w:val="00D75A17"/>
    <w:rsid w:val="00D774DC"/>
    <w:rsid w:val="00D8307E"/>
    <w:rsid w:val="00D924FA"/>
    <w:rsid w:val="00D934E9"/>
    <w:rsid w:val="00D94631"/>
    <w:rsid w:val="00DA3B9C"/>
    <w:rsid w:val="00DA3DD1"/>
    <w:rsid w:val="00DB1CAE"/>
    <w:rsid w:val="00DC0EA9"/>
    <w:rsid w:val="00DD1053"/>
    <w:rsid w:val="00DD368E"/>
    <w:rsid w:val="00DE1D18"/>
    <w:rsid w:val="00DF10C1"/>
    <w:rsid w:val="00DF358C"/>
    <w:rsid w:val="00DF6BA6"/>
    <w:rsid w:val="00E03FCA"/>
    <w:rsid w:val="00E12E3B"/>
    <w:rsid w:val="00E155ED"/>
    <w:rsid w:val="00E20123"/>
    <w:rsid w:val="00E211E3"/>
    <w:rsid w:val="00E321C8"/>
    <w:rsid w:val="00E405B7"/>
    <w:rsid w:val="00E57CF2"/>
    <w:rsid w:val="00E61DCE"/>
    <w:rsid w:val="00E6260D"/>
    <w:rsid w:val="00E63610"/>
    <w:rsid w:val="00EA1110"/>
    <w:rsid w:val="00EA207B"/>
    <w:rsid w:val="00EA636D"/>
    <w:rsid w:val="00EA6605"/>
    <w:rsid w:val="00EB18C5"/>
    <w:rsid w:val="00EB6F39"/>
    <w:rsid w:val="00EC373E"/>
    <w:rsid w:val="00ED017D"/>
    <w:rsid w:val="00EE6390"/>
    <w:rsid w:val="00EF1A3B"/>
    <w:rsid w:val="00EF5BEC"/>
    <w:rsid w:val="00F13866"/>
    <w:rsid w:val="00F1400B"/>
    <w:rsid w:val="00F265F6"/>
    <w:rsid w:val="00F31856"/>
    <w:rsid w:val="00F31975"/>
    <w:rsid w:val="00F407DE"/>
    <w:rsid w:val="00F44FC2"/>
    <w:rsid w:val="00F532C0"/>
    <w:rsid w:val="00F54CE3"/>
    <w:rsid w:val="00F5658A"/>
    <w:rsid w:val="00F615F9"/>
    <w:rsid w:val="00F637FD"/>
    <w:rsid w:val="00F664A1"/>
    <w:rsid w:val="00F7035D"/>
    <w:rsid w:val="00F705C9"/>
    <w:rsid w:val="00F83145"/>
    <w:rsid w:val="00F856B3"/>
    <w:rsid w:val="00F9252A"/>
    <w:rsid w:val="00F95ABB"/>
    <w:rsid w:val="00F97832"/>
    <w:rsid w:val="00FA46B2"/>
    <w:rsid w:val="00FA5DB0"/>
    <w:rsid w:val="00FB186A"/>
    <w:rsid w:val="00FC08D8"/>
    <w:rsid w:val="00FC208D"/>
    <w:rsid w:val="00FC5928"/>
    <w:rsid w:val="00FE1A5A"/>
    <w:rsid w:val="00FE5214"/>
    <w:rsid w:val="00FF32F9"/>
    <w:rsid w:val="00FF398C"/>
    <w:rsid w:val="00FF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8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C4E13"/>
    <w:pPr>
      <w:spacing w:after="200" w:line="276" w:lineRule="auto"/>
      <w:ind w:left="720"/>
      <w:contextualSpacing/>
    </w:pPr>
    <w:rPr>
      <w:rFonts w:asciiTheme="minorHAnsi" w:eastAsiaTheme="minorHAnsi" w:hAnsiTheme="minorHAnsi" w:cstheme="minorBidi"/>
      <w:sz w:val="22"/>
      <w:szCs w:val="22"/>
      <w:lang w:eastAsia="en-US"/>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unhideWhenUsed/>
    <w:rsid w:val="00097384"/>
    <w:rPr>
      <w:rFonts w:ascii="Times New Roman" w:hAnsi="Times New Roman"/>
      <w:sz w:val="20"/>
      <w:szCs w:val="20"/>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rsid w:val="00097384"/>
    <w:rPr>
      <w:lang w:val="nb-NO" w:eastAsia="nb-NO"/>
    </w:rPr>
  </w:style>
  <w:style w:type="character" w:styleId="Fotnotereferanse">
    <w:name w:val="footnote reference"/>
    <w:basedOn w:val="Standardskriftforavsnitt"/>
    <w:uiPriority w:val="99"/>
    <w:unhideWhenUsed/>
    <w:rsid w:val="00097384"/>
    <w:rPr>
      <w:vertAlign w:val="superscript"/>
    </w:rPr>
  </w:style>
  <w:style w:type="paragraph" w:styleId="Bobletekst">
    <w:name w:val="Balloon Text"/>
    <w:basedOn w:val="Normal"/>
    <w:link w:val="BobletekstTegn"/>
    <w:semiHidden/>
    <w:unhideWhenUsed/>
    <w:rsid w:val="008308A1"/>
    <w:rPr>
      <w:rFonts w:ascii="Times New Roman" w:hAnsi="Times New Roman"/>
      <w:sz w:val="18"/>
      <w:szCs w:val="18"/>
    </w:rPr>
  </w:style>
  <w:style w:type="character" w:customStyle="1" w:styleId="BobletekstTegn">
    <w:name w:val="Bobletekst Tegn"/>
    <w:basedOn w:val="Standardskriftforavsnitt"/>
    <w:link w:val="Bobletekst"/>
    <w:semiHidden/>
    <w:rsid w:val="008308A1"/>
    <w:rPr>
      <w:sz w:val="18"/>
      <w:szCs w:val="18"/>
      <w:lang w:val="nb-NO" w:eastAsia="nb-NO"/>
    </w:rPr>
  </w:style>
  <w:style w:type="paragraph" w:customStyle="1" w:styleId="Default">
    <w:name w:val="Default"/>
    <w:rsid w:val="00570E76"/>
    <w:pPr>
      <w:autoSpaceDE w:val="0"/>
      <w:autoSpaceDN w:val="0"/>
      <w:adjustRightInd w:val="0"/>
    </w:pPr>
    <w:rPr>
      <w:rFonts w:ascii="Arial" w:hAnsi="Arial" w:cs="Arial"/>
      <w:color w:val="000000"/>
      <w:sz w:val="24"/>
      <w:szCs w:val="24"/>
      <w:lang w:val="nb-NO"/>
    </w:rPr>
  </w:style>
  <w:style w:type="character" w:styleId="Merknadsreferanse">
    <w:name w:val="annotation reference"/>
    <w:basedOn w:val="Standardskriftforavsnitt"/>
    <w:semiHidden/>
    <w:unhideWhenUsed/>
    <w:rsid w:val="00C1248C"/>
    <w:rPr>
      <w:sz w:val="16"/>
      <w:szCs w:val="16"/>
    </w:rPr>
  </w:style>
  <w:style w:type="paragraph" w:styleId="Merknadstekst">
    <w:name w:val="annotation text"/>
    <w:basedOn w:val="Normal"/>
    <w:link w:val="MerknadstekstTegn"/>
    <w:semiHidden/>
    <w:unhideWhenUsed/>
    <w:rsid w:val="00C1248C"/>
    <w:rPr>
      <w:sz w:val="20"/>
      <w:szCs w:val="20"/>
    </w:rPr>
  </w:style>
  <w:style w:type="character" w:customStyle="1" w:styleId="MerknadstekstTegn">
    <w:name w:val="Merknadstekst Tegn"/>
    <w:basedOn w:val="Standardskriftforavsnitt"/>
    <w:link w:val="Merknadstekst"/>
    <w:semiHidden/>
    <w:rsid w:val="00C1248C"/>
    <w:rPr>
      <w:rFonts w:ascii="Arial" w:hAnsi="Arial"/>
      <w:lang w:val="nb-NO" w:eastAsia="nb-NO"/>
    </w:rPr>
  </w:style>
  <w:style w:type="paragraph" w:styleId="Kommentaremne">
    <w:name w:val="annotation subject"/>
    <w:basedOn w:val="Merknadstekst"/>
    <w:next w:val="Merknadstekst"/>
    <w:link w:val="KommentaremneTegn"/>
    <w:semiHidden/>
    <w:unhideWhenUsed/>
    <w:rsid w:val="00C1248C"/>
    <w:rPr>
      <w:b/>
      <w:bCs/>
    </w:rPr>
  </w:style>
  <w:style w:type="character" w:customStyle="1" w:styleId="KommentaremneTegn">
    <w:name w:val="Kommentaremne Tegn"/>
    <w:basedOn w:val="MerknadstekstTegn"/>
    <w:link w:val="Kommentaremne"/>
    <w:semiHidden/>
    <w:rsid w:val="00C1248C"/>
    <w:rPr>
      <w:rFonts w:ascii="Arial" w:hAnsi="Arial"/>
      <w:b/>
      <w:bCs/>
      <w:lang w:val="nb-NO" w:eastAsia="nb-NO"/>
    </w:rPr>
  </w:style>
  <w:style w:type="character" w:styleId="Hyperkobling">
    <w:name w:val="Hyperlink"/>
    <w:uiPriority w:val="99"/>
    <w:unhideWhenUsed/>
    <w:rsid w:val="00703ABE"/>
    <w:rPr>
      <w:color w:val="0000FF"/>
      <w:u w:val="single"/>
    </w:rPr>
  </w:style>
  <w:style w:type="character" w:customStyle="1" w:styleId="Topptekst9Tegn">
    <w:name w:val="Topptekst 9 Tegn"/>
    <w:basedOn w:val="Standardskriftforavsnitt"/>
    <w:link w:val="Topptekst9"/>
    <w:locked/>
    <w:rsid w:val="005027FD"/>
    <w:rPr>
      <w:rFonts w:ascii="Arial" w:hAnsi="Arial" w:cs="Arial"/>
    </w:rPr>
  </w:style>
  <w:style w:type="paragraph" w:customStyle="1" w:styleId="Topptekst9">
    <w:name w:val="Topptekst 9"/>
    <w:basedOn w:val="Normal"/>
    <w:link w:val="Topptekst9Tegn"/>
    <w:qFormat/>
    <w:rsid w:val="005027FD"/>
    <w:pPr>
      <w:jc w:val="center"/>
    </w:pPr>
    <w:rPr>
      <w:rFonts w:cs="Arial"/>
      <w:sz w:val="20"/>
      <w:szCs w:val="20"/>
      <w:lang w:val="en-GB" w:eastAsia="en-GB"/>
    </w:rPr>
  </w:style>
  <w:style w:type="paragraph" w:styleId="Revisjon">
    <w:name w:val="Revision"/>
    <w:hidden/>
    <w:uiPriority w:val="99"/>
    <w:semiHidden/>
    <w:rsid w:val="00D3736C"/>
    <w:rPr>
      <w:rFonts w:ascii="Arial" w:hAnsi="Arial"/>
      <w:sz w:val="24"/>
      <w:szCs w:val="24"/>
      <w:lang w:val="nb-NO" w:eastAsia="nb-NO"/>
    </w:rPr>
  </w:style>
  <w:style w:type="paragraph" w:customStyle="1" w:styleId="PunktlisteFFO">
    <w:name w:val="Punktliste FFO"/>
    <w:basedOn w:val="Listeavsnitt"/>
    <w:link w:val="PunktlisteFFOTegn"/>
    <w:qFormat/>
    <w:rsid w:val="00D2190A"/>
    <w:pPr>
      <w:numPr>
        <w:numId w:val="6"/>
      </w:numPr>
    </w:pPr>
    <w:rPr>
      <w:rFonts w:ascii="Arial" w:eastAsia="Calibri" w:hAnsi="Arial" w:cs="Times New Roman"/>
      <w:i/>
    </w:rPr>
  </w:style>
  <w:style w:type="character" w:customStyle="1" w:styleId="PunktlisteFFOTegn">
    <w:name w:val="Punktliste FFO Tegn"/>
    <w:basedOn w:val="Standardskriftforavsnitt"/>
    <w:link w:val="PunktlisteFFO"/>
    <w:rsid w:val="00D2190A"/>
    <w:rPr>
      <w:rFonts w:ascii="Arial" w:eastAsia="Calibri" w:hAnsi="Arial"/>
      <w: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4EB37C-55B6-41E0-A571-C84D5B93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2371</Words>
  <Characters>13333</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2016-06-27T11:15:00Z</dcterms:created>
  <dcterms:modified xsi:type="dcterms:W3CDTF">2016-07-01T08:24:00Z</dcterms:modified>
</cp:coreProperties>
</file>