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3851"/>
      </w:tblGrid>
      <w:tr w:rsidR="006F3C67" w:rsidRPr="00181807" w:rsidTr="006F3C67">
        <w:tc>
          <w:tcPr>
            <w:tcW w:w="5778" w:type="dxa"/>
          </w:tcPr>
          <w:p w:rsidR="006F3C67" w:rsidRPr="00181807" w:rsidRDefault="00AC09C1" w:rsidP="006F3C67">
            <w:pPr>
              <w:tabs>
                <w:tab w:val="left" w:pos="5670"/>
              </w:tabs>
              <w:rPr>
                <w:sz w:val="20"/>
              </w:rPr>
            </w:pPr>
            <w:r w:rsidRPr="00181807">
              <w:rPr>
                <w:sz w:val="20"/>
              </w:rPr>
              <w:t xml:space="preserve">Stortingets </w:t>
            </w:r>
            <w:r w:rsidR="00A539BB" w:rsidRPr="00181807">
              <w:rPr>
                <w:sz w:val="20"/>
              </w:rPr>
              <w:t>justis</w:t>
            </w:r>
            <w:r w:rsidRPr="00181807">
              <w:rPr>
                <w:sz w:val="20"/>
              </w:rPr>
              <w:t>komité</w:t>
            </w:r>
          </w:p>
          <w:p w:rsidR="00AC09C1" w:rsidRPr="00181807" w:rsidRDefault="00A539BB" w:rsidP="006F3C67">
            <w:pPr>
              <w:tabs>
                <w:tab w:val="left" w:pos="5670"/>
              </w:tabs>
              <w:rPr>
                <w:sz w:val="20"/>
              </w:rPr>
            </w:pPr>
            <w:r w:rsidRPr="00181807">
              <w:rPr>
                <w:sz w:val="20"/>
                <w:szCs w:val="22"/>
              </w:rPr>
              <w:t>justis</w:t>
            </w:r>
            <w:r w:rsidR="00AC09C1" w:rsidRPr="00181807">
              <w:rPr>
                <w:sz w:val="20"/>
                <w:szCs w:val="22"/>
              </w:rPr>
              <w:t>@stortinget.no</w:t>
            </w:r>
          </w:p>
        </w:tc>
        <w:tc>
          <w:tcPr>
            <w:tcW w:w="3936" w:type="dxa"/>
          </w:tcPr>
          <w:p w:rsidR="006F3C67" w:rsidRPr="00181807" w:rsidRDefault="006F3C67" w:rsidP="006F3C67">
            <w:pPr>
              <w:tabs>
                <w:tab w:val="left" w:pos="5670"/>
              </w:tabs>
              <w:rPr>
                <w:sz w:val="18"/>
              </w:rPr>
            </w:pPr>
          </w:p>
        </w:tc>
      </w:tr>
      <w:tr w:rsidR="00DF10C1" w:rsidRPr="00181807" w:rsidTr="006F3C67">
        <w:tc>
          <w:tcPr>
            <w:tcW w:w="5778" w:type="dxa"/>
          </w:tcPr>
          <w:p w:rsidR="00DF10C1" w:rsidRPr="00181807" w:rsidRDefault="0052795C" w:rsidP="0052795C">
            <w:pPr>
              <w:tabs>
                <w:tab w:val="left" w:pos="5670"/>
              </w:tabs>
              <w:rPr>
                <w:sz w:val="20"/>
              </w:rPr>
            </w:pPr>
            <w:r w:rsidRPr="00181807">
              <w:rPr>
                <w:sz w:val="20"/>
                <w:szCs w:val="22"/>
              </w:rPr>
              <w:t xml:space="preserve"> </w:t>
            </w:r>
          </w:p>
        </w:tc>
        <w:tc>
          <w:tcPr>
            <w:tcW w:w="3936" w:type="dxa"/>
          </w:tcPr>
          <w:p w:rsidR="00DF10C1" w:rsidRPr="00181807" w:rsidRDefault="00DF10C1" w:rsidP="00DF10C1">
            <w:pPr>
              <w:tabs>
                <w:tab w:val="left" w:pos="5670"/>
              </w:tabs>
              <w:rPr>
                <w:sz w:val="18"/>
              </w:rPr>
            </w:pPr>
          </w:p>
        </w:tc>
      </w:tr>
      <w:tr w:rsidR="00DF10C1" w:rsidRPr="00181807" w:rsidTr="006F3C67">
        <w:tc>
          <w:tcPr>
            <w:tcW w:w="5778" w:type="dxa"/>
          </w:tcPr>
          <w:p w:rsidR="00DF10C1" w:rsidRPr="00181807" w:rsidRDefault="00DF10C1" w:rsidP="00DF10C1">
            <w:pPr>
              <w:tabs>
                <w:tab w:val="left" w:pos="5670"/>
              </w:tabs>
              <w:rPr>
                <w:sz w:val="20"/>
              </w:rPr>
            </w:pPr>
          </w:p>
        </w:tc>
        <w:tc>
          <w:tcPr>
            <w:tcW w:w="3936" w:type="dxa"/>
          </w:tcPr>
          <w:p w:rsidR="00DF10C1" w:rsidRPr="00181807" w:rsidRDefault="00DF10C1" w:rsidP="00DF10C1">
            <w:pPr>
              <w:tabs>
                <w:tab w:val="left" w:pos="5670"/>
              </w:tabs>
              <w:rPr>
                <w:sz w:val="18"/>
              </w:rPr>
            </w:pPr>
          </w:p>
        </w:tc>
      </w:tr>
      <w:tr w:rsidR="00D1000A" w:rsidRPr="00181807" w:rsidTr="00227AEB">
        <w:tc>
          <w:tcPr>
            <w:tcW w:w="5778" w:type="dxa"/>
          </w:tcPr>
          <w:p w:rsidR="00D1000A" w:rsidRPr="00181807" w:rsidRDefault="0052795C" w:rsidP="0052795C">
            <w:pPr>
              <w:tabs>
                <w:tab w:val="left" w:pos="5670"/>
              </w:tabs>
              <w:rPr>
                <w:sz w:val="20"/>
              </w:rPr>
            </w:pPr>
            <w:r w:rsidRPr="00181807">
              <w:rPr>
                <w:sz w:val="20"/>
                <w:szCs w:val="22"/>
              </w:rPr>
              <w:t xml:space="preserve"> </w:t>
            </w:r>
          </w:p>
        </w:tc>
        <w:tc>
          <w:tcPr>
            <w:tcW w:w="3936" w:type="dxa"/>
          </w:tcPr>
          <w:p w:rsidR="00D1000A" w:rsidRPr="00181807" w:rsidRDefault="00D1000A" w:rsidP="00DF10C1">
            <w:pPr>
              <w:tabs>
                <w:tab w:val="left" w:pos="5670"/>
              </w:tabs>
              <w:rPr>
                <w:sz w:val="18"/>
                <w:szCs w:val="22"/>
              </w:rPr>
            </w:pPr>
          </w:p>
        </w:tc>
      </w:tr>
      <w:tr w:rsidR="000A6465" w:rsidRPr="00181807" w:rsidTr="006F3C67">
        <w:tc>
          <w:tcPr>
            <w:tcW w:w="5778" w:type="dxa"/>
          </w:tcPr>
          <w:p w:rsidR="000A6465" w:rsidRPr="00181807" w:rsidRDefault="000A6465" w:rsidP="000A6465">
            <w:pPr>
              <w:tabs>
                <w:tab w:val="left" w:pos="5670"/>
              </w:tabs>
              <w:rPr>
                <w:sz w:val="20"/>
                <w:szCs w:val="22"/>
              </w:rPr>
            </w:pPr>
          </w:p>
        </w:tc>
        <w:tc>
          <w:tcPr>
            <w:tcW w:w="3936" w:type="dxa"/>
          </w:tcPr>
          <w:p w:rsidR="000A6465" w:rsidRPr="00181807" w:rsidRDefault="000A6465" w:rsidP="00A539BB">
            <w:pPr>
              <w:tabs>
                <w:tab w:val="left" w:pos="5670"/>
              </w:tabs>
              <w:rPr>
                <w:sz w:val="18"/>
              </w:rPr>
            </w:pPr>
            <w:r w:rsidRPr="00181807">
              <w:rPr>
                <w:sz w:val="18"/>
                <w:szCs w:val="22"/>
              </w:rPr>
              <w:t xml:space="preserve">Vår fil: </w:t>
            </w:r>
            <w:r w:rsidR="00AC09C1" w:rsidRPr="00181807">
              <w:rPr>
                <w:sz w:val="18"/>
                <w:szCs w:val="22"/>
              </w:rPr>
              <w:t>B15-</w:t>
            </w:r>
            <w:r w:rsidR="00A539BB" w:rsidRPr="00181807">
              <w:rPr>
                <w:sz w:val="18"/>
                <w:szCs w:val="22"/>
              </w:rPr>
              <w:t>A</w:t>
            </w:r>
            <w:r w:rsidR="00AC09C1" w:rsidRPr="00181807">
              <w:rPr>
                <w:sz w:val="18"/>
                <w:szCs w:val="22"/>
              </w:rPr>
              <w:t>TS0</w:t>
            </w:r>
            <w:r w:rsidR="00A539BB" w:rsidRPr="00181807">
              <w:rPr>
                <w:sz w:val="18"/>
                <w:szCs w:val="22"/>
              </w:rPr>
              <w:t>15</w:t>
            </w:r>
          </w:p>
        </w:tc>
      </w:tr>
      <w:tr w:rsidR="000A6465" w:rsidRPr="00181807" w:rsidTr="006F3C67">
        <w:tc>
          <w:tcPr>
            <w:tcW w:w="5778" w:type="dxa"/>
          </w:tcPr>
          <w:p w:rsidR="000A6465" w:rsidRPr="00181807" w:rsidRDefault="000A6465" w:rsidP="000A6465">
            <w:pPr>
              <w:tabs>
                <w:tab w:val="left" w:pos="5670"/>
              </w:tabs>
              <w:rPr>
                <w:sz w:val="20"/>
                <w:szCs w:val="22"/>
              </w:rPr>
            </w:pPr>
          </w:p>
        </w:tc>
        <w:tc>
          <w:tcPr>
            <w:tcW w:w="3936" w:type="dxa"/>
          </w:tcPr>
          <w:p w:rsidR="000A6465" w:rsidRPr="00181807" w:rsidRDefault="000A6465" w:rsidP="000A6465">
            <w:pPr>
              <w:tabs>
                <w:tab w:val="left" w:pos="5670"/>
              </w:tabs>
              <w:rPr>
                <w:sz w:val="18"/>
              </w:rPr>
            </w:pPr>
            <w:r w:rsidRPr="00181807">
              <w:rPr>
                <w:sz w:val="18"/>
                <w:szCs w:val="22"/>
              </w:rPr>
              <w:t xml:space="preserve">Vårt Arkiv: </w:t>
            </w:r>
            <w:r w:rsidR="00A539BB" w:rsidRPr="00181807">
              <w:rPr>
                <w:sz w:val="18"/>
                <w:szCs w:val="22"/>
              </w:rPr>
              <w:t xml:space="preserve">Fagpolitisk </w:t>
            </w:r>
            <w:r w:rsidR="00AC09C1" w:rsidRPr="00181807">
              <w:rPr>
                <w:sz w:val="18"/>
                <w:szCs w:val="22"/>
              </w:rPr>
              <w:t>40</w:t>
            </w:r>
          </w:p>
        </w:tc>
      </w:tr>
      <w:tr w:rsidR="000A6465" w:rsidRPr="00181807" w:rsidTr="006F3C67">
        <w:tc>
          <w:tcPr>
            <w:tcW w:w="5778" w:type="dxa"/>
          </w:tcPr>
          <w:p w:rsidR="000A6465" w:rsidRPr="00181807" w:rsidRDefault="000A6465" w:rsidP="000A6465">
            <w:pPr>
              <w:tabs>
                <w:tab w:val="left" w:pos="5670"/>
              </w:tabs>
              <w:rPr>
                <w:sz w:val="20"/>
                <w:szCs w:val="22"/>
              </w:rPr>
            </w:pPr>
          </w:p>
        </w:tc>
        <w:tc>
          <w:tcPr>
            <w:tcW w:w="3936" w:type="dxa"/>
          </w:tcPr>
          <w:p w:rsidR="000A6465" w:rsidRPr="00181807" w:rsidRDefault="000A6465" w:rsidP="00A539BB">
            <w:pPr>
              <w:tabs>
                <w:tab w:val="left" w:pos="5670"/>
              </w:tabs>
              <w:rPr>
                <w:sz w:val="18"/>
                <w:szCs w:val="22"/>
              </w:rPr>
            </w:pPr>
            <w:r w:rsidRPr="00181807">
              <w:rPr>
                <w:sz w:val="18"/>
                <w:szCs w:val="22"/>
              </w:rPr>
              <w:t xml:space="preserve">Saksbehandler: </w:t>
            </w:r>
            <w:r w:rsidR="00A539BB" w:rsidRPr="00181807">
              <w:rPr>
                <w:sz w:val="18"/>
                <w:szCs w:val="22"/>
              </w:rPr>
              <w:t>Anne T. Sortebekk</w:t>
            </w:r>
          </w:p>
        </w:tc>
      </w:tr>
    </w:tbl>
    <w:p w:rsidR="00603CF3" w:rsidRPr="00181807" w:rsidRDefault="00603CF3" w:rsidP="00F5658A">
      <w:pPr>
        <w:tabs>
          <w:tab w:val="left" w:pos="5940"/>
        </w:tabs>
        <w:rPr>
          <w:sz w:val="18"/>
          <w:szCs w:val="20"/>
        </w:rPr>
      </w:pPr>
    </w:p>
    <w:p w:rsidR="0056171C" w:rsidRPr="00181807" w:rsidRDefault="0056171C" w:rsidP="000A6465">
      <w:pPr>
        <w:tabs>
          <w:tab w:val="left" w:pos="5812"/>
        </w:tabs>
        <w:ind w:firstLine="708"/>
        <w:rPr>
          <w:sz w:val="20"/>
          <w:szCs w:val="22"/>
        </w:rPr>
      </w:pPr>
      <w:bookmarkStart w:id="0" w:name="Bm_Dato2"/>
      <w:r w:rsidRPr="00181807">
        <w:rPr>
          <w:sz w:val="20"/>
          <w:szCs w:val="22"/>
        </w:rPr>
        <w:tab/>
      </w:r>
      <w:bookmarkStart w:id="1" w:name="Bm_Dato"/>
      <w:r w:rsidRPr="00181807">
        <w:rPr>
          <w:sz w:val="20"/>
          <w:szCs w:val="22"/>
        </w:rPr>
        <w:t xml:space="preserve">Oslo </w:t>
      </w:r>
      <w:bookmarkEnd w:id="1"/>
      <w:r w:rsidR="00A539BB" w:rsidRPr="00181807">
        <w:rPr>
          <w:sz w:val="20"/>
          <w:szCs w:val="22"/>
        </w:rPr>
        <w:t>2</w:t>
      </w:r>
      <w:r w:rsidR="00456D06">
        <w:rPr>
          <w:sz w:val="20"/>
          <w:szCs w:val="22"/>
        </w:rPr>
        <w:t>8</w:t>
      </w:r>
      <w:r w:rsidR="00676B9F" w:rsidRPr="00181807">
        <w:rPr>
          <w:sz w:val="20"/>
          <w:szCs w:val="22"/>
        </w:rPr>
        <w:fldChar w:fldCharType="begin"/>
      </w:r>
      <w:r w:rsidR="00676B9F" w:rsidRPr="00181807">
        <w:rPr>
          <w:sz w:val="20"/>
          <w:szCs w:val="22"/>
        </w:rPr>
        <w:instrText xml:space="preserve"> CREATEDATE  \@ "d. MMMM yyyy"  \* MERGEFORMAT </w:instrText>
      </w:r>
      <w:r w:rsidR="00676B9F" w:rsidRPr="00181807">
        <w:rPr>
          <w:sz w:val="20"/>
          <w:szCs w:val="22"/>
        </w:rPr>
        <w:fldChar w:fldCharType="separate"/>
      </w:r>
      <w:r w:rsidR="00AC09C1" w:rsidRPr="00181807">
        <w:rPr>
          <w:noProof/>
          <w:sz w:val="20"/>
          <w:szCs w:val="22"/>
        </w:rPr>
        <w:t>. oktober 2015</w:t>
      </w:r>
      <w:r w:rsidR="00676B9F" w:rsidRPr="00181807">
        <w:rPr>
          <w:sz w:val="20"/>
          <w:szCs w:val="22"/>
        </w:rPr>
        <w:fldChar w:fldCharType="end"/>
      </w:r>
      <w:r w:rsidR="00A03FFF" w:rsidRPr="00181807">
        <w:rPr>
          <w:sz w:val="20"/>
          <w:szCs w:val="22"/>
        </w:rPr>
        <w:t xml:space="preserve"> </w:t>
      </w:r>
      <w:bookmarkEnd w:id="0"/>
    </w:p>
    <w:p w:rsidR="0056171C" w:rsidRPr="00181807" w:rsidRDefault="0056171C" w:rsidP="0056171C">
      <w:pPr>
        <w:tabs>
          <w:tab w:val="left" w:pos="5670"/>
        </w:tabs>
        <w:ind w:firstLine="708"/>
        <w:rPr>
          <w:sz w:val="22"/>
        </w:rPr>
      </w:pPr>
    </w:p>
    <w:p w:rsidR="001F5AD2" w:rsidRPr="00181807" w:rsidRDefault="001F5AD2" w:rsidP="000603A7">
      <w:pPr>
        <w:rPr>
          <w:rFonts w:cs="Arial"/>
          <w:b/>
          <w:bCs/>
          <w:kern w:val="32"/>
          <w:sz w:val="28"/>
          <w:szCs w:val="32"/>
        </w:rPr>
      </w:pPr>
    </w:p>
    <w:p w:rsidR="0056171C" w:rsidRPr="00181807" w:rsidRDefault="00B940F8" w:rsidP="000603A7">
      <w:pPr>
        <w:rPr>
          <w:rFonts w:cs="Arial"/>
          <w:b/>
          <w:bCs/>
          <w:kern w:val="32"/>
          <w:sz w:val="28"/>
          <w:szCs w:val="32"/>
        </w:rPr>
      </w:pPr>
      <w:r w:rsidRPr="00181807">
        <w:rPr>
          <w:rFonts w:cs="Arial"/>
          <w:b/>
          <w:bCs/>
          <w:kern w:val="32"/>
          <w:sz w:val="28"/>
          <w:szCs w:val="32"/>
        </w:rPr>
        <w:t>Statsbudsjettet 2016 – Kapittel 470 R</w:t>
      </w:r>
      <w:r w:rsidR="00FC50D2" w:rsidRPr="00181807">
        <w:rPr>
          <w:rFonts w:cs="Arial"/>
          <w:b/>
          <w:bCs/>
          <w:kern w:val="32"/>
          <w:sz w:val="28"/>
          <w:szCs w:val="32"/>
        </w:rPr>
        <w:t>ettshjelp</w:t>
      </w:r>
    </w:p>
    <w:p w:rsidR="00A539BB" w:rsidRPr="00181807" w:rsidRDefault="00A539BB" w:rsidP="00AC09C1">
      <w:pPr>
        <w:rPr>
          <w:sz w:val="20"/>
          <w:szCs w:val="22"/>
        </w:rPr>
      </w:pPr>
    </w:p>
    <w:p w:rsidR="00A539BB" w:rsidRPr="00181807" w:rsidRDefault="00AC09C1" w:rsidP="00AC09C1">
      <w:pPr>
        <w:rPr>
          <w:sz w:val="20"/>
          <w:szCs w:val="22"/>
        </w:rPr>
      </w:pPr>
      <w:r w:rsidRPr="00181807">
        <w:rPr>
          <w:sz w:val="20"/>
          <w:szCs w:val="22"/>
        </w:rPr>
        <w:t>Funksjonshemmedes Fellesorganisasjon</w:t>
      </w:r>
      <w:r w:rsidR="00B940F8" w:rsidRPr="00181807">
        <w:rPr>
          <w:sz w:val="20"/>
          <w:szCs w:val="22"/>
        </w:rPr>
        <w:t xml:space="preserve"> (FFO) vil med dette gi våre kommentarer til </w:t>
      </w:r>
      <w:proofErr w:type="spellStart"/>
      <w:r w:rsidR="00B940F8" w:rsidRPr="00181807">
        <w:rPr>
          <w:sz w:val="20"/>
          <w:szCs w:val="22"/>
        </w:rPr>
        <w:t>Prop</w:t>
      </w:r>
      <w:proofErr w:type="spellEnd"/>
      <w:r w:rsidR="00B940F8" w:rsidRPr="00181807">
        <w:rPr>
          <w:sz w:val="20"/>
          <w:szCs w:val="22"/>
        </w:rPr>
        <w:t>. 1 S (2015-2016), kapittel 470, post 01 og post 72</w:t>
      </w:r>
      <w:r w:rsidR="00CA034C" w:rsidRPr="00181807">
        <w:rPr>
          <w:sz w:val="20"/>
          <w:szCs w:val="22"/>
        </w:rPr>
        <w:t>.</w:t>
      </w:r>
    </w:p>
    <w:p w:rsidR="00AC09C1" w:rsidRPr="00181807" w:rsidRDefault="00AC09C1" w:rsidP="00AC09C1">
      <w:pPr>
        <w:rPr>
          <w:rFonts w:cs="Arial"/>
          <w:sz w:val="20"/>
          <w:szCs w:val="22"/>
        </w:rPr>
      </w:pPr>
    </w:p>
    <w:p w:rsidR="00AC09C1" w:rsidRPr="00181807" w:rsidRDefault="00AC09C1" w:rsidP="00AC09C1">
      <w:pPr>
        <w:rPr>
          <w:rFonts w:cs="Arial"/>
          <w:sz w:val="20"/>
          <w:szCs w:val="22"/>
        </w:rPr>
      </w:pPr>
      <w:r w:rsidRPr="00181807">
        <w:rPr>
          <w:rFonts w:cs="Arial"/>
          <w:noProof/>
          <w:sz w:val="20"/>
          <w:szCs w:val="22"/>
        </w:rPr>
        <mc:AlternateContent>
          <mc:Choice Requires="wps">
            <w:drawing>
              <wp:anchor distT="0" distB="0" distL="114300" distR="114300" simplePos="0" relativeHeight="251659264" behindDoc="0" locked="0" layoutInCell="1" allowOverlap="1" wp14:anchorId="19B58083" wp14:editId="630FE4CC">
                <wp:simplePos x="0" y="0"/>
                <wp:positionH relativeFrom="column">
                  <wp:posOffset>-31115</wp:posOffset>
                </wp:positionH>
                <wp:positionV relativeFrom="paragraph">
                  <wp:posOffset>90805</wp:posOffset>
                </wp:positionV>
                <wp:extent cx="6202680" cy="525780"/>
                <wp:effectExtent l="0" t="0" r="26670" b="17145"/>
                <wp:wrapTopAndBottom/>
                <wp:docPr id="10" name="Rektangel 10"/>
                <wp:cNvGraphicFramePr/>
                <a:graphic xmlns:a="http://schemas.openxmlformats.org/drawingml/2006/main">
                  <a:graphicData uri="http://schemas.microsoft.com/office/word/2010/wordprocessingShape">
                    <wps:wsp>
                      <wps:cNvSpPr/>
                      <wps:spPr>
                        <a:xfrm>
                          <a:off x="0" y="0"/>
                          <a:ext cx="6202680" cy="525780"/>
                        </a:xfrm>
                        <a:prstGeom prst="rect">
                          <a:avLst/>
                        </a:prstGeom>
                        <a:solidFill>
                          <a:sysClr val="window" lastClr="FFFFFF"/>
                        </a:solidFill>
                        <a:ln w="3175" cap="flat" cmpd="sng" algn="ctr">
                          <a:solidFill>
                            <a:sysClr val="windowText" lastClr="000000"/>
                          </a:solidFill>
                          <a:prstDash val="solid"/>
                        </a:ln>
                        <a:effectLst/>
                      </wps:spPr>
                      <wps:txbx>
                        <w:txbxContent>
                          <w:p w:rsidR="00AC09C1" w:rsidRPr="00A27612" w:rsidRDefault="00AC09C1" w:rsidP="00AC09C1">
                            <w:pPr>
                              <w:rPr>
                                <w:b/>
                                <w:sz w:val="28"/>
                                <w:szCs w:val="28"/>
                              </w:rPr>
                            </w:pPr>
                            <w:proofErr w:type="spellStart"/>
                            <w:r>
                              <w:rPr>
                                <w:b/>
                                <w:sz w:val="28"/>
                                <w:szCs w:val="28"/>
                              </w:rPr>
                              <w:t>FFOs</w:t>
                            </w:r>
                            <w:proofErr w:type="spellEnd"/>
                            <w:r>
                              <w:rPr>
                                <w:b/>
                                <w:sz w:val="28"/>
                                <w:szCs w:val="28"/>
                              </w:rPr>
                              <w:t xml:space="preserve"> tilrådnin</w:t>
                            </w:r>
                            <w:r w:rsidRPr="00A27612">
                              <w:rPr>
                                <w:b/>
                                <w:sz w:val="28"/>
                                <w:szCs w:val="28"/>
                              </w:rPr>
                              <w:t>g</w:t>
                            </w:r>
                          </w:p>
                          <w:p w:rsidR="00CA034C" w:rsidRPr="00CA034C" w:rsidRDefault="00CA034C" w:rsidP="00CA034C">
                            <w:pPr>
                              <w:pStyle w:val="PunktlisteFFO"/>
                            </w:pPr>
                            <w:r>
                              <w:t>FFO ber komiteen foreslå gjennomgang og endring av rettshjelploven</w:t>
                            </w:r>
                          </w:p>
                          <w:p w:rsidR="005D5894" w:rsidRDefault="005D5894" w:rsidP="005D5894">
                            <w:pPr>
                              <w:pStyle w:val="PunktlisteFFO"/>
                            </w:pPr>
                            <w:r>
                              <w:t xml:space="preserve">FFO ber komiteen </w:t>
                            </w:r>
                            <w:r w:rsidRPr="00CE65D6">
                              <w:t xml:space="preserve">foreslå </w:t>
                            </w:r>
                            <w:r>
                              <w:t>å øke</w:t>
                            </w:r>
                            <w:r w:rsidRPr="00CE65D6">
                              <w:t xml:space="preserve"> bevilgningen til tilskudd til spesielle rettshjelptiltak</w:t>
                            </w:r>
                            <w:r>
                              <w:t xml:space="preserve"> slik at flere tiltak lettere kan komme inn under ordningen</w:t>
                            </w:r>
                            <w:r w:rsidRPr="00CE65D6">
                              <w:t>.</w:t>
                            </w:r>
                          </w:p>
                          <w:p w:rsidR="004F770F" w:rsidRDefault="005D5894" w:rsidP="00BC3C81">
                            <w:pPr>
                              <w:pStyle w:val="PunktlisteFFO"/>
                              <w:spacing w:after="0"/>
                              <w:ind w:left="714" w:hanging="357"/>
                            </w:pPr>
                            <w:r>
                              <w:t>F</w:t>
                            </w:r>
                            <w:r w:rsidR="004F770F" w:rsidRPr="00CE65D6">
                              <w:t xml:space="preserve">FO ber </w:t>
                            </w:r>
                            <w:r w:rsidR="004F770F">
                              <w:t xml:space="preserve">om at </w:t>
                            </w:r>
                            <w:proofErr w:type="spellStart"/>
                            <w:r w:rsidR="004F770F">
                              <w:t>FFOs</w:t>
                            </w:r>
                            <w:proofErr w:type="spellEnd"/>
                            <w:r w:rsidR="004F770F">
                              <w:t xml:space="preserve"> Rettighetssenter tas inn blant rettshjelptiltakene som får øremerkede tilskudd fra Justis- og beredskapsdepartementet.</w:t>
                            </w:r>
                            <w:r w:rsidR="004F770F" w:rsidRPr="00D05D8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9B58083" id="Rektangel 10" o:spid="_x0000_s1026" style="position:absolute;margin-left:-2.45pt;margin-top:7.15pt;width:488.4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" fillcolor="window" strokecolor="windowText" strokeweight=".25pt">
                <v:textbox style="mso-fit-shape-to-text:t">
                  <w:txbxContent>
                    <w:p w:rsidR="00AC09C1" w:rsidRPr="00A27612" w:rsidRDefault="00AC09C1" w:rsidP="00AC09C1">
                      <w:pPr>
                        <w:rPr>
                          <w:b/>
                          <w:sz w:val="28"/>
                          <w:szCs w:val="28"/>
                        </w:rPr>
                      </w:pPr>
                      <w:r>
                        <w:rPr>
                          <w:b/>
                          <w:sz w:val="28"/>
                          <w:szCs w:val="28"/>
                        </w:rPr>
                        <w:t>FFOs tilrådnin</w:t>
                      </w:r>
                      <w:r w:rsidRPr="00A27612">
                        <w:rPr>
                          <w:b/>
                          <w:sz w:val="28"/>
                          <w:szCs w:val="28"/>
                        </w:rPr>
                        <w:t>g</w:t>
                      </w:r>
                    </w:p>
                    <w:p w:rsidR="00CA034C" w:rsidRPr="00CA034C" w:rsidRDefault="00CA034C" w:rsidP="00CA034C">
                      <w:pPr>
                        <w:pStyle w:val="PunktlisteFFO"/>
                      </w:pPr>
                      <w:r>
                        <w:t>FFO ber komiteen foreslå gjennomgang og endring av rettshjelploven</w:t>
                      </w:r>
                    </w:p>
                    <w:p w:rsidR="005D5894" w:rsidRDefault="005D5894" w:rsidP="005D5894">
                      <w:pPr>
                        <w:pStyle w:val="PunktlisteFFO"/>
                      </w:pPr>
                      <w:r>
                        <w:t xml:space="preserve">FFO ber komiteen </w:t>
                      </w:r>
                      <w:r w:rsidRPr="00CE65D6">
                        <w:t xml:space="preserve">foreslå </w:t>
                      </w:r>
                      <w:r>
                        <w:t>å øke</w:t>
                      </w:r>
                      <w:r w:rsidRPr="00CE65D6">
                        <w:t xml:space="preserve"> bevilgningen til tilskudd til spesielle rettshjelptiltak</w:t>
                      </w:r>
                      <w:r>
                        <w:t xml:space="preserve"> slik at flere tiltak lettere kan komme inn under ordningen</w:t>
                      </w:r>
                      <w:r w:rsidRPr="00CE65D6">
                        <w:t>.</w:t>
                      </w:r>
                    </w:p>
                    <w:p w:rsidR="004F770F" w:rsidRDefault="005D5894" w:rsidP="00BC3C81">
                      <w:pPr>
                        <w:pStyle w:val="PunktlisteFFO"/>
                        <w:spacing w:after="0"/>
                        <w:ind w:left="714" w:hanging="357"/>
                      </w:pPr>
                      <w:r>
                        <w:t>F</w:t>
                      </w:r>
                      <w:r w:rsidR="004F770F" w:rsidRPr="00CE65D6">
                        <w:t xml:space="preserve">FO ber </w:t>
                      </w:r>
                      <w:r w:rsidR="004F770F">
                        <w:t>om at FFOs Rettighetssenter tas inn blant rettshjelptiltakene som får øremerkede tilskudd fra Justis- og beredskapsdepartementet.</w:t>
                      </w:r>
                      <w:r w:rsidR="004F770F" w:rsidRPr="00D05D80">
                        <w:t xml:space="preserve"> </w:t>
                      </w:r>
                    </w:p>
                  </w:txbxContent>
                </v:textbox>
                <w10:wrap type="topAndBottom"/>
              </v:rect>
            </w:pict>
          </mc:Fallback>
        </mc:AlternateContent>
      </w:r>
    </w:p>
    <w:p w:rsidR="005D5894" w:rsidRPr="00BC3C81" w:rsidRDefault="005D5894" w:rsidP="005D5894">
      <w:pPr>
        <w:rPr>
          <w:rFonts w:cs="Arial"/>
          <w:b/>
        </w:rPr>
      </w:pPr>
      <w:r w:rsidRPr="00BC3C81">
        <w:rPr>
          <w:rFonts w:cs="Arial"/>
          <w:b/>
        </w:rPr>
        <w:t>Rettshjelploven</w:t>
      </w:r>
    </w:p>
    <w:p w:rsidR="00391F18" w:rsidRPr="00181807" w:rsidRDefault="005D5894" w:rsidP="005D5894">
      <w:pPr>
        <w:rPr>
          <w:sz w:val="22"/>
        </w:rPr>
      </w:pPr>
      <w:r w:rsidRPr="00181807">
        <w:rPr>
          <w:sz w:val="22"/>
        </w:rPr>
        <w:t xml:space="preserve">Fri rettshjelp er en viktig rettssikkerhetsgaranti og velferdsgode. Ordningen skal sikre at den enkeltes inntekt og formue ikke blir avgjørende for om rettssikkerheten blir ivaretatt. FFO mener ordningen ikke i tilstrekkelig grad ivaretar formålet. </w:t>
      </w:r>
      <w:r w:rsidR="00391F18" w:rsidRPr="00181807">
        <w:rPr>
          <w:sz w:val="22"/>
        </w:rPr>
        <w:t>Det samme gjør en rekke andre organisasjoner.</w:t>
      </w:r>
      <w:r w:rsidR="00391F18" w:rsidRPr="00181807">
        <w:rPr>
          <w:rStyle w:val="Fotnotereferanse"/>
          <w:sz w:val="22"/>
        </w:rPr>
        <w:footnoteReference w:id="1"/>
      </w:r>
    </w:p>
    <w:p w:rsidR="00EE0F09" w:rsidRPr="00181807" w:rsidRDefault="00EE0F09" w:rsidP="005D5894">
      <w:pPr>
        <w:rPr>
          <w:sz w:val="22"/>
        </w:rPr>
      </w:pPr>
    </w:p>
    <w:p w:rsidR="00EE0F09" w:rsidRPr="00181807" w:rsidRDefault="00CA034C" w:rsidP="00EE0F09">
      <w:pPr>
        <w:rPr>
          <w:i/>
          <w:sz w:val="22"/>
          <w:highlight w:val="yellow"/>
          <w:u w:val="single"/>
        </w:rPr>
      </w:pPr>
      <w:r w:rsidRPr="00181807">
        <w:rPr>
          <w:rFonts w:cs="Arial"/>
          <w:sz w:val="22"/>
        </w:rPr>
        <w:t>FNs menneskerettskomité har kritisert rettshjelpsordningen for å være for snever.</w:t>
      </w:r>
      <w:r w:rsidRPr="00181807">
        <w:rPr>
          <w:rStyle w:val="Fotnotereferanse"/>
          <w:rFonts w:cs="Arial"/>
          <w:sz w:val="22"/>
        </w:rPr>
        <w:footnoteReference w:id="2"/>
      </w:r>
      <w:r w:rsidR="00EE0F09" w:rsidRPr="00181807">
        <w:rPr>
          <w:rFonts w:cs="Arial"/>
          <w:sz w:val="22"/>
        </w:rPr>
        <w:t xml:space="preserve"> Etter FN-konvensjonen om rettighetene til mennesker med nedsatt funksjonsevne</w:t>
      </w:r>
      <w:r w:rsidR="00BC3C81">
        <w:rPr>
          <w:rFonts w:cs="Arial"/>
          <w:sz w:val="22"/>
        </w:rPr>
        <w:t>,</w:t>
      </w:r>
      <w:r w:rsidR="00EE0F09" w:rsidRPr="00181807">
        <w:rPr>
          <w:rFonts w:cs="Arial"/>
          <w:sz w:val="22"/>
        </w:rPr>
        <w:t xml:space="preserve"> (CRPD)</w:t>
      </w:r>
      <w:r w:rsidR="00BC3C81">
        <w:rPr>
          <w:rFonts w:cs="Arial"/>
          <w:sz w:val="22"/>
        </w:rPr>
        <w:t>,</w:t>
      </w:r>
      <w:r w:rsidR="00EE0F09" w:rsidRPr="00181807">
        <w:rPr>
          <w:sz w:val="22"/>
        </w:rPr>
        <w:t xml:space="preserve"> artikkel 13 (1) skal staten «sikre at mennesker med nedsatt funksjonsevne har </w:t>
      </w:r>
      <w:r w:rsidR="00EE0F09" w:rsidRPr="00181807">
        <w:rPr>
          <w:i/>
          <w:sz w:val="22"/>
          <w:u w:val="single"/>
        </w:rPr>
        <w:t xml:space="preserve">effektiv tilgang til rettssystemet på lik linje med andre </w:t>
      </w:r>
      <w:r w:rsidR="00EE0F09" w:rsidRPr="00181807">
        <w:rPr>
          <w:sz w:val="22"/>
        </w:rPr>
        <w:t>[…].</w:t>
      </w:r>
    </w:p>
    <w:p w:rsidR="005D5894" w:rsidRPr="00181807" w:rsidRDefault="005D5894" w:rsidP="005D5894">
      <w:pPr>
        <w:rPr>
          <w:rFonts w:cs="Arial"/>
          <w:sz w:val="22"/>
        </w:rPr>
      </w:pPr>
    </w:p>
    <w:p w:rsidR="00EE0F09" w:rsidRPr="00181807" w:rsidRDefault="00391F18" w:rsidP="00EE0F09">
      <w:pPr>
        <w:rPr>
          <w:sz w:val="22"/>
        </w:rPr>
      </w:pPr>
      <w:r w:rsidRPr="003076F2">
        <w:rPr>
          <w:sz w:val="22"/>
        </w:rPr>
        <w:t>Samtlige partier er enige om at ret</w:t>
      </w:r>
      <w:r w:rsidR="00842123">
        <w:rPr>
          <w:sz w:val="22"/>
        </w:rPr>
        <w:t>tshjelpsordningen bør forbedres</w:t>
      </w:r>
      <w:r w:rsidR="00BC3C81">
        <w:rPr>
          <w:sz w:val="22"/>
        </w:rPr>
        <w:t>.</w:t>
      </w:r>
      <w:r w:rsidR="00EE0F09" w:rsidRPr="00181807">
        <w:rPr>
          <w:sz w:val="22"/>
        </w:rPr>
        <w:t xml:space="preserve"> Justis- og beredskapsdepartementet opplyser til FFO at </w:t>
      </w:r>
      <w:r w:rsidR="00BC3C81">
        <w:rPr>
          <w:sz w:val="22"/>
        </w:rPr>
        <w:t>arbeidet med å forbedre rettshjelpsordningen er utsatt på</w:t>
      </w:r>
      <w:r w:rsidR="00EE0F09" w:rsidRPr="00181807">
        <w:rPr>
          <w:sz w:val="22"/>
        </w:rPr>
        <w:t xml:space="preserve"> ubestemt tid.</w:t>
      </w:r>
      <w:r w:rsidR="00456D06">
        <w:rPr>
          <w:sz w:val="22"/>
        </w:rPr>
        <w:t xml:space="preserve"> FFO er bekymret, og mener det haster med å sette i gang med dette arbeidet.</w:t>
      </w:r>
    </w:p>
    <w:p w:rsidR="00391F18" w:rsidRPr="00181807" w:rsidRDefault="00391F18" w:rsidP="005D5894">
      <w:pPr>
        <w:rPr>
          <w:rFonts w:cs="Arial"/>
          <w:sz w:val="22"/>
        </w:rPr>
      </w:pPr>
    </w:p>
    <w:p w:rsidR="005D5894" w:rsidRPr="00181807" w:rsidRDefault="005D5894" w:rsidP="005D5894">
      <w:pPr>
        <w:pStyle w:val="Fet"/>
        <w:rPr>
          <w:b w:val="0"/>
          <w:i/>
          <w:sz w:val="20"/>
          <w:u w:val="single"/>
        </w:rPr>
      </w:pPr>
      <w:r w:rsidRPr="00181807">
        <w:rPr>
          <w:b w:val="0"/>
          <w:i/>
          <w:sz w:val="20"/>
          <w:u w:val="single"/>
        </w:rPr>
        <w:t>Saksområdene</w:t>
      </w:r>
    </w:p>
    <w:p w:rsidR="005D5894" w:rsidRPr="00181807" w:rsidRDefault="005D5894" w:rsidP="005D5894">
      <w:pPr>
        <w:rPr>
          <w:sz w:val="22"/>
        </w:rPr>
      </w:pPr>
      <w:r w:rsidRPr="00181807">
        <w:rPr>
          <w:sz w:val="22"/>
        </w:rPr>
        <w:t>Diskriminerings</w:t>
      </w:r>
      <w:r w:rsidR="00BC3C81">
        <w:rPr>
          <w:sz w:val="22"/>
        </w:rPr>
        <w:t>- og tilgjengelighetslo</w:t>
      </w:r>
      <w:r w:rsidRPr="00181807">
        <w:rPr>
          <w:sz w:val="22"/>
        </w:rPr>
        <w:t>ven</w:t>
      </w:r>
      <w:r w:rsidR="00456D06">
        <w:rPr>
          <w:sz w:val="22"/>
        </w:rPr>
        <w:t>,</w:t>
      </w:r>
      <w:r w:rsidRPr="00181807">
        <w:rPr>
          <w:sz w:val="22"/>
        </w:rPr>
        <w:t xml:space="preserve"> pasient- og brukerrettighetsloven og opplæringsloven inneholder regler om rett til sentrale velferdsgoder som er svært sentrale for folk som lever med ulike funksjonshemninger og kroniske sykdommer. Disse lovene er imidlertid ikke omfattet av rettshjelploven. I slike saker må man derfor betale for advokatbistanden selv. </w:t>
      </w:r>
    </w:p>
    <w:p w:rsidR="005D5894" w:rsidRPr="00181807" w:rsidRDefault="005D5894" w:rsidP="005D5894">
      <w:pPr>
        <w:rPr>
          <w:sz w:val="22"/>
        </w:rPr>
      </w:pPr>
    </w:p>
    <w:p w:rsidR="005D5894" w:rsidRPr="00181807" w:rsidRDefault="00CA034C" w:rsidP="005D5894">
      <w:pPr>
        <w:rPr>
          <w:sz w:val="22"/>
        </w:rPr>
      </w:pPr>
      <w:r w:rsidRPr="00181807">
        <w:rPr>
          <w:sz w:val="22"/>
        </w:rPr>
        <w:lastRenderedPageBreak/>
        <w:t>Rettshjelploven har en</w:t>
      </w:r>
      <w:r w:rsidR="005D5894" w:rsidRPr="00181807">
        <w:rPr>
          <w:sz w:val="22"/>
        </w:rPr>
        <w:t xml:space="preserve"> sikkerhetsventil </w:t>
      </w:r>
      <w:r w:rsidR="005D5894" w:rsidRPr="00181807" w:rsidDel="00BE21E2">
        <w:rPr>
          <w:sz w:val="22"/>
        </w:rPr>
        <w:t>som gir unntak fra de uttømmende listene over hvilke saksområder det gis rettshjelp i</w:t>
      </w:r>
      <w:r w:rsidR="005D5894" w:rsidRPr="00181807">
        <w:rPr>
          <w:sz w:val="22"/>
        </w:rPr>
        <w:t xml:space="preserve">, </w:t>
      </w:r>
      <w:r w:rsidR="00127A87">
        <w:rPr>
          <w:sz w:val="22"/>
        </w:rPr>
        <w:t>og fra</w:t>
      </w:r>
      <w:r w:rsidR="005D5894" w:rsidRPr="00181807" w:rsidDel="00BE21E2">
        <w:rPr>
          <w:sz w:val="22"/>
        </w:rPr>
        <w:t xml:space="preserve"> inntektsgrensene</w:t>
      </w:r>
      <w:r w:rsidR="00127A87">
        <w:rPr>
          <w:sz w:val="22"/>
        </w:rPr>
        <w:t>, men det er</w:t>
      </w:r>
      <w:r w:rsidR="005D5894" w:rsidRPr="00181807">
        <w:rPr>
          <w:sz w:val="22"/>
        </w:rPr>
        <w:t xml:space="preserve"> </w:t>
      </w:r>
      <w:r w:rsidR="005D5894" w:rsidRPr="00181807" w:rsidDel="00BE21E2">
        <w:rPr>
          <w:sz w:val="22"/>
        </w:rPr>
        <w:t>dok</w:t>
      </w:r>
      <w:r w:rsidR="005D5894" w:rsidRPr="00181807">
        <w:rPr>
          <w:sz w:val="22"/>
        </w:rPr>
        <w:t>umentert at de</w:t>
      </w:r>
      <w:r w:rsidR="00127A87">
        <w:rPr>
          <w:sz w:val="22"/>
        </w:rPr>
        <w:t>tte</w:t>
      </w:r>
      <w:r w:rsidR="005D5894" w:rsidRPr="00181807">
        <w:rPr>
          <w:sz w:val="22"/>
        </w:rPr>
        <w:t xml:space="preserve"> </w:t>
      </w:r>
      <w:r w:rsidRPr="00181807">
        <w:rPr>
          <w:sz w:val="22"/>
        </w:rPr>
        <w:t>praktiseres ulikt fylker i</w:t>
      </w:r>
      <w:r w:rsidR="005D5894" w:rsidRPr="00181807" w:rsidDel="00BE21E2">
        <w:rPr>
          <w:sz w:val="22"/>
        </w:rPr>
        <w:t xml:space="preserve">mellom og </w:t>
      </w:r>
      <w:r w:rsidR="005D5894" w:rsidRPr="00181807">
        <w:rPr>
          <w:sz w:val="22"/>
        </w:rPr>
        <w:t>at de</w:t>
      </w:r>
      <w:r w:rsidR="00127A87">
        <w:rPr>
          <w:sz w:val="22"/>
        </w:rPr>
        <w:t>t</w:t>
      </w:r>
      <w:r w:rsidR="005D5894" w:rsidRPr="00181807">
        <w:rPr>
          <w:sz w:val="22"/>
        </w:rPr>
        <w:t xml:space="preserve"> ikke fører til fri</w:t>
      </w:r>
      <w:r w:rsidR="005D5894" w:rsidRPr="00181807" w:rsidDel="00BE21E2">
        <w:rPr>
          <w:sz w:val="22"/>
        </w:rPr>
        <w:t xml:space="preserve"> rettshjelp i alle saker der det er behov for det</w:t>
      </w:r>
      <w:r w:rsidR="005D5894" w:rsidRPr="00181807">
        <w:rPr>
          <w:sz w:val="22"/>
        </w:rPr>
        <w:t>.</w:t>
      </w:r>
      <w:r w:rsidR="005D5894" w:rsidRPr="00181807">
        <w:rPr>
          <w:rStyle w:val="Fotnotereferanse"/>
          <w:sz w:val="22"/>
        </w:rPr>
        <w:footnoteReference w:id="3"/>
      </w:r>
    </w:p>
    <w:p w:rsidR="005D5894" w:rsidRPr="00181807" w:rsidRDefault="005D5894" w:rsidP="005D5894">
      <w:pPr>
        <w:rPr>
          <w:sz w:val="22"/>
        </w:rPr>
      </w:pPr>
    </w:p>
    <w:p w:rsidR="00391F18" w:rsidRDefault="005D5894" w:rsidP="005D5894">
      <w:pPr>
        <w:rPr>
          <w:sz w:val="22"/>
        </w:rPr>
      </w:pPr>
      <w:r w:rsidRPr="00181807">
        <w:rPr>
          <w:sz w:val="22"/>
        </w:rPr>
        <w:t xml:space="preserve">Stortingsmelding nr. 26 (2008-2009) Om </w:t>
      </w:r>
      <w:proofErr w:type="spellStart"/>
      <w:r w:rsidRPr="00181807">
        <w:rPr>
          <w:sz w:val="22"/>
        </w:rPr>
        <w:t>offentleg</w:t>
      </w:r>
      <w:proofErr w:type="spellEnd"/>
      <w:r w:rsidRPr="00181807">
        <w:rPr>
          <w:sz w:val="22"/>
        </w:rPr>
        <w:t xml:space="preserve"> rettshjelp og NOU 2012:18 Politikk for likestilling foreslår fri rettshjelp i diskrimineringssaker. Stortingsmeldingen foreslår i tillegg fri rettshjelp i saker om brudd på helse- og omsorgstjenesteloven. FFO støtter disse forslagene</w:t>
      </w:r>
      <w:r w:rsidR="00127A87">
        <w:rPr>
          <w:sz w:val="22"/>
        </w:rPr>
        <w:t>.</w:t>
      </w:r>
    </w:p>
    <w:p w:rsidR="00127A87" w:rsidRPr="00181807" w:rsidRDefault="00127A87" w:rsidP="005D5894">
      <w:pPr>
        <w:rPr>
          <w:sz w:val="22"/>
        </w:rPr>
      </w:pPr>
    </w:p>
    <w:p w:rsidR="005D5894" w:rsidRPr="00181807" w:rsidRDefault="005D5894" w:rsidP="005D5894">
      <w:pPr>
        <w:rPr>
          <w:sz w:val="22"/>
        </w:rPr>
      </w:pPr>
      <w:r w:rsidRPr="00181807">
        <w:rPr>
          <w:sz w:val="22"/>
        </w:rPr>
        <w:t>Det er Likestillings- og diskrimineringsombudet (LDO) som håndhever diskrimineringslovene, gir veiledning og har en pådriverrolle. Ombudet er viktig, men en ombudsordning gir ikke et godt nok diskrimineringsvern alene. Ombudet opptrer ikke som partsrepresentant eller rettshjelper, og for å få tilkjent oppreisning og erstatning må saken inn for domstolene. Å få advokatbistand gjennom fri rettshjelp kan være avgjørende for at diskrimineringsvernet skal være reelt</w:t>
      </w:r>
      <w:r w:rsidR="00127A87">
        <w:rPr>
          <w:sz w:val="22"/>
        </w:rPr>
        <w:t xml:space="preserve"> og effektivt</w:t>
      </w:r>
      <w:r w:rsidRPr="00181807">
        <w:rPr>
          <w:sz w:val="22"/>
        </w:rPr>
        <w:t>.</w:t>
      </w:r>
    </w:p>
    <w:p w:rsidR="005D5894" w:rsidRPr="00181807" w:rsidRDefault="005D5894" w:rsidP="005D5894">
      <w:pPr>
        <w:rPr>
          <w:sz w:val="22"/>
        </w:rPr>
      </w:pPr>
    </w:p>
    <w:p w:rsidR="005D5894" w:rsidRPr="00181807" w:rsidRDefault="005D5894" w:rsidP="005D5894">
      <w:pPr>
        <w:rPr>
          <w:sz w:val="22"/>
        </w:rPr>
      </w:pPr>
      <w:r w:rsidRPr="00181807">
        <w:rPr>
          <w:sz w:val="22"/>
        </w:rPr>
        <w:t>Nødvendige helse- og omsorgstjenester er i kjernen av hva velferdsstaten skal tilby. Pasient- og brukerrettighetsloven gir oss rettigheter som sikrer ikke bare liv og helse, men også muligheten til å leve et selvstendig og fullverdig liv. Pasient- og brukerombudene har en viktig funksjon, men det er likevel behov for rettshjelp i tillegg til en ombudsordning. Ombudene har begrenset kapasitet og har ingen formell myndighet. Ombudene fører heller ikke saker for domstolene.</w:t>
      </w:r>
    </w:p>
    <w:p w:rsidR="005D5894" w:rsidRPr="00181807" w:rsidRDefault="005D5894" w:rsidP="005D5894">
      <w:pPr>
        <w:rPr>
          <w:sz w:val="22"/>
        </w:rPr>
      </w:pPr>
    </w:p>
    <w:p w:rsidR="00127A87" w:rsidRDefault="00127A87" w:rsidP="005D5894">
      <w:pPr>
        <w:rPr>
          <w:sz w:val="22"/>
        </w:rPr>
      </w:pPr>
      <w:r>
        <w:rPr>
          <w:sz w:val="22"/>
        </w:rPr>
        <w:t>FFO mener videre det er</w:t>
      </w:r>
      <w:r w:rsidR="005D5894" w:rsidRPr="00181807">
        <w:rPr>
          <w:sz w:val="22"/>
        </w:rPr>
        <w:t xml:space="preserve"> behov for å utvide rettshjelploven til å omfatte opplæringsloven</w:t>
      </w:r>
      <w:r>
        <w:rPr>
          <w:sz w:val="22"/>
        </w:rPr>
        <w:t>, særlig</w:t>
      </w:r>
      <w:r w:rsidR="005D5894" w:rsidRPr="00181807">
        <w:rPr>
          <w:sz w:val="22"/>
        </w:rPr>
        <w:t xml:space="preserve"> for funksjonshemmede og kronisk syke elever med rett til spesialundervisning.</w:t>
      </w:r>
      <w:r w:rsidR="005D5894" w:rsidRPr="00181807">
        <w:rPr>
          <w:rStyle w:val="Fotnotereferanse"/>
          <w:sz w:val="22"/>
        </w:rPr>
        <w:footnoteReference w:id="4"/>
      </w:r>
      <w:r w:rsidR="005D5894" w:rsidRPr="00181807">
        <w:rPr>
          <w:sz w:val="22"/>
        </w:rPr>
        <w:t xml:space="preserve"> Riksrevisjonens rapport om spesialundervisning</w:t>
      </w:r>
      <w:r w:rsidR="005D5894" w:rsidRPr="00181807">
        <w:rPr>
          <w:rStyle w:val="Fotnotereferanse"/>
          <w:sz w:val="22"/>
        </w:rPr>
        <w:footnoteReference w:id="5"/>
      </w:r>
      <w:r w:rsidR="005D5894" w:rsidRPr="00181807">
        <w:rPr>
          <w:sz w:val="22"/>
        </w:rPr>
        <w:t xml:space="preserve"> og Fylkesmannens nasjonale tilsyn</w:t>
      </w:r>
      <w:r w:rsidR="005D5894" w:rsidRPr="00181807">
        <w:rPr>
          <w:rStyle w:val="Fotnotereferanse"/>
          <w:sz w:val="22"/>
        </w:rPr>
        <w:footnoteReference w:id="6"/>
      </w:r>
      <w:r w:rsidR="005D5894" w:rsidRPr="00181807">
        <w:rPr>
          <w:sz w:val="22"/>
        </w:rPr>
        <w:t xml:space="preserve"> dokumenterer mange brudd på opplæringsloven. </w:t>
      </w:r>
      <w:r w:rsidRPr="00127A87">
        <w:rPr>
          <w:sz w:val="22"/>
        </w:rPr>
        <w:t xml:space="preserve">Blant funksjonshemmede har en nesten dobbelt så høy andel (41 prosent) grunnskoleutdanning som sin høyeste utdanning sammenlignet med nivået i befolkningen ellers (24 prosent). Funksjonshemmede fullfører i mindre grad enn andre videregående opplæring. Blant elever med fysiske funksjonsnedsettelser, fullfører ikke 64 prosent videregående opplæring, mot bare 17 prosent i befolkningen for øvrig. </w:t>
      </w:r>
      <w:r w:rsidR="005D5894" w:rsidRPr="00181807">
        <w:rPr>
          <w:sz w:val="22"/>
        </w:rPr>
        <w:t xml:space="preserve">Manglende opplæring er alvorlig i seg selv, men kan også føre til at man ikke får innpass i, eller faller ut av, arbeidslivet. </w:t>
      </w:r>
    </w:p>
    <w:p w:rsidR="00127A87" w:rsidRDefault="00127A87" w:rsidP="005D5894">
      <w:pPr>
        <w:rPr>
          <w:sz w:val="22"/>
        </w:rPr>
      </w:pPr>
    </w:p>
    <w:p w:rsidR="005D5894" w:rsidRPr="00181807" w:rsidRDefault="005D5894" w:rsidP="005D5894">
      <w:pPr>
        <w:rPr>
          <w:sz w:val="22"/>
        </w:rPr>
      </w:pPr>
      <w:r w:rsidRPr="00181807">
        <w:rPr>
          <w:sz w:val="22"/>
        </w:rPr>
        <w:t xml:space="preserve">Det er ingen lovpålagt ombudsordning på opplæringslovens område. Det finnes elev- og lærlingeombud i flere fylker på videregående nivå, men dette er en frivillig ordning. </w:t>
      </w:r>
      <w:r w:rsidR="00391F18" w:rsidRPr="00181807">
        <w:rPr>
          <w:sz w:val="22"/>
        </w:rPr>
        <w:t>Disse o</w:t>
      </w:r>
      <w:r w:rsidRPr="00181807">
        <w:rPr>
          <w:sz w:val="22"/>
        </w:rPr>
        <w:t>mbudene har begrenset kapasitet til å gå inn i enkeltsaker og utgjør ikke en fullverdig erstatning for rettshjelp. For å få oppfylt retten til opplæring, vil det derfor i enkelte tilfeller være nødvendig med fri rettshjelp.</w:t>
      </w:r>
    </w:p>
    <w:p w:rsidR="005D5894" w:rsidRPr="00181807" w:rsidRDefault="005D5894" w:rsidP="005D5894">
      <w:pPr>
        <w:rPr>
          <w:sz w:val="22"/>
        </w:rPr>
      </w:pPr>
    </w:p>
    <w:p w:rsidR="005D5894" w:rsidRPr="00181807" w:rsidRDefault="005D5894" w:rsidP="005D5894">
      <w:pPr>
        <w:rPr>
          <w:sz w:val="22"/>
        </w:rPr>
      </w:pPr>
      <w:r w:rsidRPr="00181807">
        <w:rPr>
          <w:sz w:val="22"/>
        </w:rPr>
        <w:t xml:space="preserve">I dag </w:t>
      </w:r>
      <w:r w:rsidR="00391F18" w:rsidRPr="00181807">
        <w:rPr>
          <w:sz w:val="22"/>
        </w:rPr>
        <w:t>gis det</w:t>
      </w:r>
      <w:r w:rsidRPr="00181807">
        <w:rPr>
          <w:sz w:val="22"/>
        </w:rPr>
        <w:t xml:space="preserve"> fri rettshjelp i klagesaker etter folketrygdloven. Dette forutsetter at den det gjelder har fått et enkeltvedtak som man ønsker å klage på. </w:t>
      </w:r>
    </w:p>
    <w:p w:rsidR="005D5894" w:rsidRPr="00181807" w:rsidRDefault="005D5894" w:rsidP="005D5894">
      <w:pPr>
        <w:rPr>
          <w:sz w:val="22"/>
        </w:rPr>
      </w:pPr>
    </w:p>
    <w:p w:rsidR="005D5894" w:rsidRPr="00181807" w:rsidRDefault="005D5894" w:rsidP="005D5894">
      <w:pPr>
        <w:rPr>
          <w:sz w:val="22"/>
        </w:rPr>
      </w:pPr>
      <w:r w:rsidRPr="00181807">
        <w:rPr>
          <w:sz w:val="22"/>
        </w:rPr>
        <w:t>FFO erfarer at mange har et stort behov for hjelp og veiledning i prosessen frem til det blir fattet et vedtak. Bakgrunnen er at alt for mange opplever at NAV-systemet ikke fungerer. Brukere får ikke nødvendig informasjon, saksbehandlingsfeilene er mange og oppfølgingen av enkeltbrukere svikter. Riksrevisjonen har også påpekt at NAV bør gi bedre oppfølgning til brukere med behov for koordinerte tjenester.</w:t>
      </w:r>
      <w:r w:rsidRPr="00181807">
        <w:rPr>
          <w:rStyle w:val="Fotnotereferanse"/>
          <w:sz w:val="22"/>
        </w:rPr>
        <w:footnoteReference w:id="7"/>
      </w:r>
      <w:r w:rsidRPr="00181807">
        <w:rPr>
          <w:sz w:val="22"/>
        </w:rPr>
        <w:t xml:space="preserve"> I 201</w:t>
      </w:r>
      <w:r w:rsidR="00391F18" w:rsidRPr="00181807">
        <w:rPr>
          <w:sz w:val="22"/>
        </w:rPr>
        <w:t>4</w:t>
      </w:r>
      <w:r w:rsidRPr="00181807">
        <w:rPr>
          <w:sz w:val="22"/>
        </w:rPr>
        <w:t xml:space="preserve"> gjaldt 37 % av alle henvendelsene til Rettighetssenteret problemer i NAV-saker. Tallet har ligget stabilt høyt de siste årene. Vi har avdekket en rekke alvorlige tilfeller av feil og svikt i NAV, og </w:t>
      </w:r>
      <w:r w:rsidR="00127A87">
        <w:rPr>
          <w:sz w:val="22"/>
        </w:rPr>
        <w:t>de som kontakter oss har problemer med å ivareta egne rettigheter</w:t>
      </w:r>
      <w:r w:rsidRPr="00181807">
        <w:rPr>
          <w:sz w:val="22"/>
        </w:rPr>
        <w:t>. For mange er det et problem at prosessen stopper opp før de har fått et vedtak de kan klage på.</w:t>
      </w:r>
    </w:p>
    <w:p w:rsidR="005D5894" w:rsidRPr="00181807" w:rsidRDefault="005D5894" w:rsidP="005D5894">
      <w:pPr>
        <w:rPr>
          <w:sz w:val="22"/>
        </w:rPr>
      </w:pPr>
    </w:p>
    <w:p w:rsidR="005D5894" w:rsidRPr="00181807" w:rsidRDefault="00127A87" w:rsidP="005D5894">
      <w:pPr>
        <w:rPr>
          <w:sz w:val="22"/>
        </w:rPr>
      </w:pPr>
      <w:r>
        <w:rPr>
          <w:sz w:val="22"/>
        </w:rPr>
        <w:t xml:space="preserve">NAV har veiledningsplikt, men oppleves ofte som en motpart. </w:t>
      </w:r>
      <w:r w:rsidR="005D5894" w:rsidRPr="00181807">
        <w:rPr>
          <w:sz w:val="22"/>
        </w:rPr>
        <w:t>Når NAV svikter, eller når brukere har behov for ekstra hjelp, er det behov for at instanser utenfor NAV kan bistå. På trygdeom</w:t>
      </w:r>
      <w:r>
        <w:rPr>
          <w:sz w:val="22"/>
        </w:rPr>
        <w:t xml:space="preserve">rådet er det ikke noe NAV-ombud, så den </w:t>
      </w:r>
      <w:r w:rsidR="005D5894" w:rsidRPr="00181807">
        <w:rPr>
          <w:sz w:val="22"/>
        </w:rPr>
        <w:t>det gjelder blir derfor ofte stående helt alene. Det er behov for å utvide rettshjelploven til alle saker etter folketrygdloven, ikke bare klagesaker.</w:t>
      </w:r>
    </w:p>
    <w:p w:rsidR="00CA034C" w:rsidRPr="00181807" w:rsidRDefault="00CA034C" w:rsidP="005D5894">
      <w:pPr>
        <w:rPr>
          <w:sz w:val="22"/>
        </w:rPr>
      </w:pPr>
    </w:p>
    <w:p w:rsidR="00CA034C" w:rsidRPr="00181807" w:rsidRDefault="00CA034C" w:rsidP="00391F18">
      <w:pPr>
        <w:pStyle w:val="PunktlisteFFO"/>
        <w:numPr>
          <w:ilvl w:val="0"/>
          <w:numId w:val="0"/>
        </w:numPr>
        <w:rPr>
          <w:color w:val="FF0000"/>
          <w:sz w:val="20"/>
        </w:rPr>
      </w:pPr>
      <w:r w:rsidRPr="00181807">
        <w:rPr>
          <w:sz w:val="20"/>
        </w:rPr>
        <w:t xml:space="preserve">FFO </w:t>
      </w:r>
      <w:r w:rsidR="00391F18" w:rsidRPr="00181807">
        <w:rPr>
          <w:sz w:val="20"/>
        </w:rPr>
        <w:t>mener rettshjelploven må omfatte</w:t>
      </w:r>
      <w:r w:rsidRPr="00181807">
        <w:rPr>
          <w:sz w:val="20"/>
        </w:rPr>
        <w:t xml:space="preserve"> saker etter diskriminerings- og tilgjengelighetsloven, pasient- og brukerrettighetsloven, opplæringsloven og saker etter folketrygdloven. </w:t>
      </w:r>
    </w:p>
    <w:p w:rsidR="005D5894" w:rsidRPr="00181807" w:rsidRDefault="005D5894" w:rsidP="005D5894">
      <w:pPr>
        <w:pStyle w:val="Fet"/>
        <w:rPr>
          <w:i/>
          <w:sz w:val="20"/>
          <w:u w:val="single"/>
        </w:rPr>
      </w:pPr>
      <w:r w:rsidRPr="00181807">
        <w:rPr>
          <w:i/>
          <w:sz w:val="20"/>
          <w:u w:val="single"/>
        </w:rPr>
        <w:t xml:space="preserve">Inntektsgrensene </w:t>
      </w:r>
    </w:p>
    <w:p w:rsidR="005D5894" w:rsidRPr="00181807" w:rsidRDefault="005D5894" w:rsidP="005D5894">
      <w:pPr>
        <w:rPr>
          <w:sz w:val="22"/>
        </w:rPr>
      </w:pPr>
      <w:r w:rsidRPr="00181807">
        <w:rPr>
          <w:sz w:val="22"/>
        </w:rPr>
        <w:t xml:space="preserve">Selv om saksområdet faller innenfor rettshjelploven, innskrenkes retten til rettshjelp til å gjelde de med aller dårligst økonomi. </w:t>
      </w:r>
    </w:p>
    <w:p w:rsidR="005D5894" w:rsidRPr="00181807" w:rsidRDefault="005D5894" w:rsidP="005D5894">
      <w:pPr>
        <w:rPr>
          <w:sz w:val="22"/>
        </w:rPr>
      </w:pPr>
    </w:p>
    <w:p w:rsidR="005D5894" w:rsidRPr="00181807" w:rsidRDefault="005D5894" w:rsidP="005D5894">
      <w:pPr>
        <w:rPr>
          <w:sz w:val="22"/>
        </w:rPr>
      </w:pPr>
      <w:r w:rsidRPr="00181807">
        <w:rPr>
          <w:sz w:val="22"/>
        </w:rPr>
        <w:t>Det er ikke foreslått heving av inntektsgrensen i statsbudsjettet for 201</w:t>
      </w:r>
      <w:r w:rsidR="00391F18" w:rsidRPr="00181807">
        <w:rPr>
          <w:sz w:val="22"/>
        </w:rPr>
        <w:t>6</w:t>
      </w:r>
      <w:r w:rsidRPr="00181807">
        <w:rPr>
          <w:sz w:val="22"/>
        </w:rPr>
        <w:t>. Inntektsgrensen ble i statsbudsjettet for 2013 hevet til 246</w:t>
      </w:r>
      <w:r w:rsidR="00127A87">
        <w:rPr>
          <w:sz w:val="22"/>
        </w:rPr>
        <w:t> </w:t>
      </w:r>
      <w:r w:rsidRPr="00181807">
        <w:rPr>
          <w:sz w:val="22"/>
        </w:rPr>
        <w:t>000</w:t>
      </w:r>
      <w:r w:rsidR="00127A87">
        <w:rPr>
          <w:sz w:val="22"/>
        </w:rPr>
        <w:t xml:space="preserve"> kr </w:t>
      </w:r>
      <w:r w:rsidRPr="00181807">
        <w:rPr>
          <w:sz w:val="22"/>
        </w:rPr>
        <w:t>for enslige</w:t>
      </w:r>
      <w:r w:rsidR="00127A87">
        <w:rPr>
          <w:sz w:val="22"/>
        </w:rPr>
        <w:t xml:space="preserve"> (brutto årsinntekt)</w:t>
      </w:r>
      <w:r w:rsidRPr="00181807">
        <w:rPr>
          <w:sz w:val="22"/>
        </w:rPr>
        <w:t xml:space="preserve"> og 369 000 </w:t>
      </w:r>
      <w:r w:rsidR="00127A87">
        <w:rPr>
          <w:sz w:val="22"/>
        </w:rPr>
        <w:t xml:space="preserve">kr (brutto årsinntekt) </w:t>
      </w:r>
      <w:r w:rsidRPr="00181807">
        <w:rPr>
          <w:sz w:val="22"/>
        </w:rPr>
        <w:t>for ektefeller og andre som lever sammen med felles økonomi.</w:t>
      </w:r>
      <w:r w:rsidRPr="00181807">
        <w:rPr>
          <w:rStyle w:val="Fotnotereferanse"/>
          <w:sz w:val="22"/>
        </w:rPr>
        <w:footnoteReference w:id="8"/>
      </w:r>
      <w:r w:rsidRPr="00181807">
        <w:rPr>
          <w:sz w:val="22"/>
        </w:rPr>
        <w:t xml:space="preserve"> </w:t>
      </w:r>
    </w:p>
    <w:p w:rsidR="005D5894" w:rsidRPr="00181807" w:rsidRDefault="005D5894" w:rsidP="005D5894">
      <w:pPr>
        <w:rPr>
          <w:sz w:val="22"/>
        </w:rPr>
      </w:pPr>
    </w:p>
    <w:p w:rsidR="005D5894" w:rsidRPr="00181807" w:rsidRDefault="005D5894" w:rsidP="005D5894">
      <w:pPr>
        <w:rPr>
          <w:sz w:val="22"/>
        </w:rPr>
      </w:pPr>
      <w:r w:rsidRPr="00181807">
        <w:rPr>
          <w:sz w:val="22"/>
        </w:rPr>
        <w:t>Selv om bruttoinntekten er høyere enn den fastsatte grensen, har ma</w:t>
      </w:r>
      <w:r w:rsidR="00391F18" w:rsidRPr="00181807">
        <w:rPr>
          <w:sz w:val="22"/>
        </w:rPr>
        <w:t>nge ikke råd til å betale for</w:t>
      </w:r>
      <w:r w:rsidRPr="00181807">
        <w:rPr>
          <w:sz w:val="22"/>
        </w:rPr>
        <w:t xml:space="preserve"> advokat. Den reelle betalingsevnen blir liten når skatt, utgifter til bolig</w:t>
      </w:r>
      <w:r w:rsidR="00127A87">
        <w:rPr>
          <w:sz w:val="22"/>
        </w:rPr>
        <w:t>, forsørgelse av barn</w:t>
      </w:r>
      <w:r w:rsidRPr="00181807">
        <w:rPr>
          <w:sz w:val="22"/>
        </w:rPr>
        <w:t xml:space="preserve"> og andre faste kostnader trekkes fra. I tillegg har funksjonshemmede og kronisk syke ekstrautgifter knyttet til sykdom som </w:t>
      </w:r>
      <w:r w:rsidR="00EE0F09" w:rsidRPr="00181807">
        <w:rPr>
          <w:sz w:val="22"/>
        </w:rPr>
        <w:t>ikke</w:t>
      </w:r>
      <w:r w:rsidRPr="00181807">
        <w:rPr>
          <w:sz w:val="22"/>
        </w:rPr>
        <w:t xml:space="preserve"> kompenser</w:t>
      </w:r>
      <w:r w:rsidR="00EE0F09" w:rsidRPr="00181807">
        <w:rPr>
          <w:sz w:val="22"/>
        </w:rPr>
        <w:t>es</w:t>
      </w:r>
      <w:r w:rsidRPr="00181807">
        <w:rPr>
          <w:sz w:val="22"/>
        </w:rPr>
        <w:t xml:space="preserve"> av det offentlige. Den økonomiske belastningen med å betale for advokat selv, vil for mange bli for stor.</w:t>
      </w:r>
    </w:p>
    <w:p w:rsidR="005D5894" w:rsidRPr="00181807" w:rsidRDefault="005D5894" w:rsidP="005D5894">
      <w:pPr>
        <w:rPr>
          <w:sz w:val="22"/>
        </w:rPr>
      </w:pPr>
    </w:p>
    <w:p w:rsidR="005D5894" w:rsidRPr="00181807" w:rsidRDefault="005D5894" w:rsidP="005D5894">
      <w:pPr>
        <w:rPr>
          <w:sz w:val="22"/>
        </w:rPr>
      </w:pPr>
      <w:r w:rsidRPr="00181807">
        <w:rPr>
          <w:sz w:val="22"/>
        </w:rPr>
        <w:t>FFO mener dagens inntektsgrense bidrar til å opprettholde sosiale forskjeller. Inntektsgrensen må heves i samsvar med det som til enhver tid anses som tilfredsstillende levestandard i Norge. FFO mener det bør vurderes å knytte inntektsgrensen for fri rettshjelp til folketrygdens grunnbeløp slik at det blir en årlig justering.</w:t>
      </w:r>
    </w:p>
    <w:p w:rsidR="005D5894" w:rsidRPr="00181807" w:rsidRDefault="005D5894" w:rsidP="005D5894">
      <w:pPr>
        <w:rPr>
          <w:sz w:val="22"/>
        </w:rPr>
      </w:pPr>
    </w:p>
    <w:p w:rsidR="00CA034C" w:rsidRPr="00181807" w:rsidRDefault="00CA034C" w:rsidP="00EE0F09">
      <w:pPr>
        <w:pStyle w:val="PunktlisteFFO"/>
        <w:numPr>
          <w:ilvl w:val="0"/>
          <w:numId w:val="0"/>
        </w:numPr>
        <w:rPr>
          <w:sz w:val="20"/>
        </w:rPr>
      </w:pPr>
      <w:r w:rsidRPr="00181807">
        <w:rPr>
          <w:sz w:val="20"/>
        </w:rPr>
        <w:t xml:space="preserve">FFO </w:t>
      </w:r>
      <w:r w:rsidR="00EE0F09" w:rsidRPr="00181807">
        <w:rPr>
          <w:sz w:val="20"/>
        </w:rPr>
        <w:t>mener i</w:t>
      </w:r>
      <w:r w:rsidRPr="00181807">
        <w:rPr>
          <w:sz w:val="20"/>
        </w:rPr>
        <w:t xml:space="preserve">nntektsgrensene for fri rettshjelp </w:t>
      </w:r>
      <w:r w:rsidR="00F54690">
        <w:rPr>
          <w:sz w:val="20"/>
        </w:rPr>
        <w:t xml:space="preserve">i første omgang </w:t>
      </w:r>
      <w:r w:rsidR="00EE0F09" w:rsidRPr="00181807">
        <w:rPr>
          <w:sz w:val="20"/>
        </w:rPr>
        <w:t xml:space="preserve">må heves </w:t>
      </w:r>
      <w:r w:rsidRPr="00181807">
        <w:rPr>
          <w:sz w:val="20"/>
        </w:rPr>
        <w:t xml:space="preserve">til minimum 4G for enslige og 7G for ektefeller og samboere. I tillegg bør det være unntak fra inntektsgrensen slik at reell betalingsevne vurderes, særlig når det gjelder forsørgeransvar og sykdomsutgifter. </w:t>
      </w:r>
    </w:p>
    <w:p w:rsidR="005D5894" w:rsidRPr="00181807" w:rsidRDefault="005D5894" w:rsidP="00D431FE">
      <w:pPr>
        <w:rPr>
          <w:sz w:val="22"/>
        </w:rPr>
      </w:pPr>
    </w:p>
    <w:p w:rsidR="004F770F" w:rsidRPr="00BC3C81" w:rsidRDefault="004F770F" w:rsidP="00D431FE">
      <w:pPr>
        <w:rPr>
          <w:b/>
        </w:rPr>
      </w:pPr>
      <w:r w:rsidRPr="00BC3C81">
        <w:rPr>
          <w:b/>
        </w:rPr>
        <w:t>Tilskudd til spesielle rettshjelptiltak</w:t>
      </w:r>
    </w:p>
    <w:p w:rsidR="00D431FE" w:rsidRPr="00181807" w:rsidRDefault="004F770F" w:rsidP="00D431FE">
      <w:pPr>
        <w:rPr>
          <w:sz w:val="22"/>
        </w:rPr>
      </w:pPr>
      <w:r w:rsidRPr="00181807">
        <w:rPr>
          <w:sz w:val="22"/>
        </w:rPr>
        <w:t>I post 72 viderefører r</w:t>
      </w:r>
      <w:r w:rsidR="00D431FE" w:rsidRPr="00181807">
        <w:rPr>
          <w:sz w:val="22"/>
        </w:rPr>
        <w:t xml:space="preserve">egjeringen </w:t>
      </w:r>
      <w:r w:rsidRPr="00181807">
        <w:rPr>
          <w:sz w:val="22"/>
        </w:rPr>
        <w:t xml:space="preserve">øremerkingen av </w:t>
      </w:r>
      <w:r w:rsidR="00D431FE" w:rsidRPr="00181807">
        <w:rPr>
          <w:sz w:val="22"/>
        </w:rPr>
        <w:t xml:space="preserve">tilskudd til organisasjoner mv. som yter rettshjelp </w:t>
      </w:r>
      <w:r w:rsidRPr="00181807">
        <w:rPr>
          <w:sz w:val="22"/>
        </w:rPr>
        <w:t>til grupper med særskilte behov.  Dermed utelukkes</w:t>
      </w:r>
      <w:r w:rsidR="00D431FE" w:rsidRPr="00181807">
        <w:rPr>
          <w:sz w:val="22"/>
        </w:rPr>
        <w:t xml:space="preserve"> andre rettshjelptiltak fra å søke på ordningen, selv om de oppfyller formålet med ordningen. </w:t>
      </w:r>
    </w:p>
    <w:p w:rsidR="00D431FE" w:rsidRPr="00181807" w:rsidRDefault="00D431FE" w:rsidP="00D431FE">
      <w:pPr>
        <w:rPr>
          <w:sz w:val="22"/>
        </w:rPr>
      </w:pPr>
    </w:p>
    <w:p w:rsidR="00D431FE" w:rsidRPr="00181807" w:rsidRDefault="00D431FE" w:rsidP="00D431FE">
      <w:pPr>
        <w:rPr>
          <w:sz w:val="22"/>
        </w:rPr>
      </w:pPr>
      <w:r w:rsidRPr="00181807">
        <w:rPr>
          <w:sz w:val="22"/>
        </w:rPr>
        <w:t>FFO mener departementets vurdering av hvem som regnes å være en særlig utsatt gruppe og mennesker i en spesielt vanskelig situasjon, er for snever.</w:t>
      </w:r>
    </w:p>
    <w:p w:rsidR="004F770F" w:rsidRPr="00181807" w:rsidRDefault="004F770F" w:rsidP="00D431FE">
      <w:pPr>
        <w:rPr>
          <w:sz w:val="22"/>
        </w:rPr>
      </w:pPr>
    </w:p>
    <w:p w:rsidR="00D431FE" w:rsidRPr="00181807" w:rsidRDefault="00D431FE" w:rsidP="00D431FE">
      <w:pPr>
        <w:rPr>
          <w:sz w:val="22"/>
        </w:rPr>
      </w:pPr>
      <w:r w:rsidRPr="00181807">
        <w:rPr>
          <w:sz w:val="22"/>
        </w:rPr>
        <w:t>FFO har flere ganger søkt uten å få tilskudd til vårt rettshjelptiltak, Rettighetssenteret,</w:t>
      </w:r>
      <w:r w:rsidRPr="00181807">
        <w:rPr>
          <w:rStyle w:val="Fotnotereferanse"/>
          <w:sz w:val="22"/>
        </w:rPr>
        <w:footnoteReference w:id="9"/>
      </w:r>
      <w:r w:rsidRPr="00181807">
        <w:rPr>
          <w:sz w:val="22"/>
        </w:rPr>
        <w:t xml:space="preserve"> med den begrunnelse at fordelingspotten er begrenset og at Rettighetssenteret ikke retter seg mot en avgrenset gruppe. De</w:t>
      </w:r>
      <w:r w:rsidR="00F54690">
        <w:rPr>
          <w:sz w:val="22"/>
        </w:rPr>
        <w:t>partementet</w:t>
      </w:r>
      <w:r w:rsidRPr="00181807">
        <w:rPr>
          <w:sz w:val="22"/>
        </w:rPr>
        <w:t xml:space="preserve"> mener at vår målgruppe besitter større økonomiske og personlige ressurser enn målgruppen i andre tiltak. </w:t>
      </w:r>
    </w:p>
    <w:p w:rsidR="00D431FE" w:rsidRPr="00181807" w:rsidRDefault="00D431FE" w:rsidP="00D431FE">
      <w:pPr>
        <w:rPr>
          <w:sz w:val="22"/>
        </w:rPr>
      </w:pPr>
    </w:p>
    <w:p w:rsidR="005D5894" w:rsidRPr="00181807" w:rsidRDefault="00D431FE" w:rsidP="00D431FE">
      <w:pPr>
        <w:rPr>
          <w:sz w:val="22"/>
        </w:rPr>
      </w:pPr>
      <w:r w:rsidRPr="00181807">
        <w:rPr>
          <w:sz w:val="22"/>
        </w:rPr>
        <w:t>Vi vet imidlertid at mange funksjonshemmede ikke får</w:t>
      </w:r>
      <w:r w:rsidR="00F54690">
        <w:rPr>
          <w:sz w:val="22"/>
        </w:rPr>
        <w:t xml:space="preserve"> oppfylt </w:t>
      </w:r>
      <w:r w:rsidRPr="00181807">
        <w:rPr>
          <w:sz w:val="22"/>
        </w:rPr>
        <w:t xml:space="preserve">lovfestede rettigheter. </w:t>
      </w:r>
      <w:r w:rsidR="005D5894" w:rsidRPr="00181807">
        <w:rPr>
          <w:sz w:val="22"/>
        </w:rPr>
        <w:t>Det viser blant annet Rapporten "Utviklingen av funksjonshemmedes rettigheter siste ti år".</w:t>
      </w:r>
      <w:r w:rsidR="005D5894" w:rsidRPr="00181807">
        <w:rPr>
          <w:rStyle w:val="Fotnotereferanse"/>
          <w:sz w:val="22"/>
        </w:rPr>
        <w:footnoteReference w:id="10"/>
      </w:r>
      <w:r w:rsidR="005D5894" w:rsidRPr="00181807">
        <w:rPr>
          <w:sz w:val="22"/>
        </w:rPr>
        <w:t xml:space="preserve"> Forskning viser </w:t>
      </w:r>
      <w:r w:rsidR="00F54690">
        <w:rPr>
          <w:sz w:val="22"/>
        </w:rPr>
        <w:t xml:space="preserve">også </w:t>
      </w:r>
      <w:r w:rsidR="005D5894" w:rsidRPr="00181807">
        <w:rPr>
          <w:sz w:val="22"/>
        </w:rPr>
        <w:t xml:space="preserve">at i møte med hjelpeapparatet opplever foreldre til funksjonshemmede barn </w:t>
      </w:r>
      <w:r w:rsidR="004F770F" w:rsidRPr="00181807">
        <w:rPr>
          <w:rFonts w:cs="Arial"/>
          <w:sz w:val="22"/>
        </w:rPr>
        <w:t xml:space="preserve">dårlig informasjon om ulike hjelpetiltak og regelverk, et fragmentert og uoversiktlig hjelpeapparat og </w:t>
      </w:r>
      <w:r w:rsidR="004F770F" w:rsidRPr="00181807">
        <w:rPr>
          <w:rFonts w:cs="Arial"/>
          <w:sz w:val="22"/>
        </w:rPr>
        <w:lastRenderedPageBreak/>
        <w:t>lange prosesser ved søknader og klager på avslag om ytelser og tjenester.</w:t>
      </w:r>
      <w:r w:rsidR="00F54690" w:rsidRPr="00F54690">
        <w:rPr>
          <w:rStyle w:val="Fotnotereferanse"/>
          <w:rFonts w:cs="Arial"/>
          <w:sz w:val="22"/>
        </w:rPr>
        <w:t xml:space="preserve"> </w:t>
      </w:r>
      <w:r w:rsidR="00F54690" w:rsidRPr="00181807">
        <w:rPr>
          <w:rStyle w:val="Fotnotereferanse"/>
          <w:rFonts w:cs="Arial"/>
          <w:sz w:val="22"/>
        </w:rPr>
        <w:footnoteReference w:id="11"/>
      </w:r>
      <w:r w:rsidR="004F770F" w:rsidRPr="00181807">
        <w:rPr>
          <w:rFonts w:cs="Arial"/>
          <w:sz w:val="22"/>
        </w:rPr>
        <w:t xml:space="preserve"> Gjentatte søknads- og klageprosesser skaper en skjevfordeling av ytelser til fordel for de utholdende.</w:t>
      </w:r>
      <w:r w:rsidR="005D5894" w:rsidRPr="00181807">
        <w:rPr>
          <w:rFonts w:cs="Arial"/>
          <w:sz w:val="22"/>
        </w:rPr>
        <w:t xml:space="preserve"> </w:t>
      </w:r>
      <w:r w:rsidRPr="00181807">
        <w:rPr>
          <w:sz w:val="22"/>
        </w:rPr>
        <w:t xml:space="preserve">Dette er et stort rettssikkerhetsproblem. Årsakene er sammensatt. </w:t>
      </w:r>
    </w:p>
    <w:p w:rsidR="005D5894" w:rsidRPr="00181807" w:rsidRDefault="005D5894" w:rsidP="00D431FE">
      <w:pPr>
        <w:rPr>
          <w:sz w:val="22"/>
        </w:rPr>
      </w:pPr>
    </w:p>
    <w:p w:rsidR="00D431FE" w:rsidRPr="00181807" w:rsidRDefault="00D431FE" w:rsidP="00D431FE">
      <w:pPr>
        <w:rPr>
          <w:sz w:val="22"/>
        </w:rPr>
      </w:pPr>
      <w:r w:rsidRPr="00181807">
        <w:rPr>
          <w:sz w:val="22"/>
        </w:rPr>
        <w:t>De s</w:t>
      </w:r>
      <w:r w:rsidR="00F54690">
        <w:rPr>
          <w:sz w:val="22"/>
        </w:rPr>
        <w:t>om kontakter Rettighetssenteret</w:t>
      </w:r>
      <w:r w:rsidRPr="00181807">
        <w:rPr>
          <w:sz w:val="22"/>
        </w:rPr>
        <w:t xml:space="preserve"> tar kontakt fordi de er kommet i en utsatt og spesielt vanskelig situasjon. Man kan være både ressurssterk og kunnskapsrik i utgangspunktet, men å takle en ny livssituasjon med en alvorlig sykdom eller en funksjonshemning, er krevende. Det er ikke alle som klarer å orientere seg om egne rettigheter, fremme søknader og følge dem opp i tillegg til å takle en ny livssituasjon og få hverdagen til å fungere, både praktisk og økonomisk.</w:t>
      </w:r>
    </w:p>
    <w:p w:rsidR="00D431FE" w:rsidRPr="00181807" w:rsidRDefault="00D431FE" w:rsidP="00D431FE">
      <w:pPr>
        <w:rPr>
          <w:sz w:val="22"/>
        </w:rPr>
      </w:pPr>
    </w:p>
    <w:p w:rsidR="00D431FE" w:rsidRPr="00181807" w:rsidRDefault="00D431FE" w:rsidP="00D431FE">
      <w:pPr>
        <w:rPr>
          <w:sz w:val="22"/>
        </w:rPr>
      </w:pPr>
      <w:r w:rsidRPr="00181807">
        <w:rPr>
          <w:sz w:val="22"/>
        </w:rPr>
        <w:t>I møtet med systemet føler mange funksjonshemmede og kronisk syke seg små og maktesløse. Å kjempe for egne rettigheter når man lever i en sårbar situasjon, er for mange uoverkommelig. Det er mange som opplever det som belastende stadig</w:t>
      </w:r>
      <w:r w:rsidRPr="00181807" w:rsidDel="00581EE0">
        <w:rPr>
          <w:sz w:val="22"/>
        </w:rPr>
        <w:t xml:space="preserve"> </w:t>
      </w:r>
      <w:r w:rsidRPr="00181807">
        <w:rPr>
          <w:sz w:val="22"/>
        </w:rPr>
        <w:t>å måtte søke om og klage på avslag om f.eks. tjenester</w:t>
      </w:r>
      <w:r w:rsidR="00456D06">
        <w:rPr>
          <w:sz w:val="22"/>
        </w:rPr>
        <w:t xml:space="preserve"> og ytelser</w:t>
      </w:r>
      <w:r w:rsidRPr="00181807">
        <w:rPr>
          <w:sz w:val="22"/>
        </w:rPr>
        <w:t xml:space="preserve">, hvor </w:t>
      </w:r>
      <w:r w:rsidR="00F54690">
        <w:rPr>
          <w:sz w:val="22"/>
        </w:rPr>
        <w:t>man</w:t>
      </w:r>
      <w:r w:rsidRPr="00181807">
        <w:rPr>
          <w:sz w:val="22"/>
        </w:rPr>
        <w:t xml:space="preserve"> </w:t>
      </w:r>
      <w:r w:rsidR="00456D06">
        <w:rPr>
          <w:sz w:val="22"/>
        </w:rPr>
        <w:t xml:space="preserve">også til stadighet </w:t>
      </w:r>
      <w:r w:rsidRPr="00181807">
        <w:rPr>
          <w:sz w:val="22"/>
        </w:rPr>
        <w:t xml:space="preserve">må beskrive behov, forklare, argumentere og legge ved dokumentasjon i saken. Om søknaden eller klagen innvilges må </w:t>
      </w:r>
      <w:r w:rsidR="00F54690">
        <w:rPr>
          <w:sz w:val="22"/>
        </w:rPr>
        <w:t>man</w:t>
      </w:r>
      <w:r w:rsidRPr="00181807">
        <w:rPr>
          <w:sz w:val="22"/>
        </w:rPr>
        <w:t xml:space="preserve"> følge opp at vedtaket gjennomføres i praksis. I arbeidet på Rettighetssenteret har vi </w:t>
      </w:r>
      <w:r w:rsidR="00F54690">
        <w:rPr>
          <w:sz w:val="22"/>
        </w:rPr>
        <w:t>flere</w:t>
      </w:r>
      <w:r w:rsidRPr="00181807">
        <w:rPr>
          <w:sz w:val="22"/>
        </w:rPr>
        <w:t xml:space="preserve"> eksempler på at folk får innvilget sin søknad, men </w:t>
      </w:r>
      <w:r w:rsidR="00456D06">
        <w:rPr>
          <w:sz w:val="22"/>
        </w:rPr>
        <w:t>at</w:t>
      </w:r>
      <w:r w:rsidR="00F54690">
        <w:rPr>
          <w:sz w:val="22"/>
        </w:rPr>
        <w:t xml:space="preserve"> ingenting s</w:t>
      </w:r>
      <w:r w:rsidRPr="00181807">
        <w:rPr>
          <w:sz w:val="22"/>
        </w:rPr>
        <w:t>kjer</w:t>
      </w:r>
      <w:r w:rsidR="00F54690">
        <w:rPr>
          <w:sz w:val="22"/>
        </w:rPr>
        <w:t>:</w:t>
      </w:r>
      <w:r w:rsidRPr="00181807">
        <w:rPr>
          <w:sz w:val="22"/>
        </w:rPr>
        <w:t xml:space="preserve"> Kommunen iverksetter ikke vedtaket i praksis. Mange opplever å bli satt på sidelinjen og blir ikke tatt på alvor med sin beskrivelse av egen situasjon. Noen orker ikke å ta kampen og resignerer. Andre har smertelig erfart at sjansen for å nå frem er så minimal at de lar være.</w:t>
      </w:r>
    </w:p>
    <w:p w:rsidR="00D431FE" w:rsidRPr="00181807" w:rsidRDefault="00D431FE" w:rsidP="00D431FE">
      <w:pPr>
        <w:rPr>
          <w:sz w:val="22"/>
        </w:rPr>
      </w:pPr>
    </w:p>
    <w:p w:rsidR="00D431FE" w:rsidRPr="00181807" w:rsidRDefault="00D431FE" w:rsidP="00D431FE">
      <w:pPr>
        <w:rPr>
          <w:sz w:val="22"/>
        </w:rPr>
      </w:pPr>
      <w:r w:rsidRPr="00181807">
        <w:rPr>
          <w:sz w:val="22"/>
        </w:rPr>
        <w:t xml:space="preserve">Det er avgjørende å ha noen å gå til som kan gi råd og hjelp på veien videre. </w:t>
      </w:r>
      <w:proofErr w:type="spellStart"/>
      <w:r w:rsidRPr="00181807">
        <w:rPr>
          <w:sz w:val="22"/>
        </w:rPr>
        <w:t>FFOs</w:t>
      </w:r>
      <w:proofErr w:type="spellEnd"/>
      <w:r w:rsidRPr="00181807">
        <w:rPr>
          <w:sz w:val="22"/>
        </w:rPr>
        <w:t xml:space="preserve"> Rettighetssenter retter seg ikke mot én bestemt gruppe funksjonshemmede, men de som kontakter oss er personer som ikke er i en økonomisk situasjon til å kunne kontakte advokat.  Mange av brukerne av vårt Rettighetssenter har en anstrengt økonomi og har ikke mulighet til å betale for juridisk bistand. Rettighetssenteret har stor legitimitet fordi det er brukerstyrt; mange ønsker juridisk hjelp fra en interesseorganisasjon som FFO, fordi de vet at vi har særlig kompetanse på funksjonshemming og oversikt over deres særskilte behov og rettigheter på velferdsområdet. </w:t>
      </w:r>
    </w:p>
    <w:p w:rsidR="00D431FE" w:rsidRPr="00181807" w:rsidRDefault="00D431FE" w:rsidP="00D431FE">
      <w:pPr>
        <w:rPr>
          <w:sz w:val="22"/>
        </w:rPr>
      </w:pPr>
    </w:p>
    <w:p w:rsidR="00D431FE" w:rsidRPr="00181807" w:rsidRDefault="00EE0F09" w:rsidP="00D431FE">
      <w:pPr>
        <w:rPr>
          <w:i/>
          <w:sz w:val="22"/>
        </w:rPr>
      </w:pPr>
      <w:r w:rsidRPr="00181807">
        <w:rPr>
          <w:i/>
          <w:sz w:val="22"/>
        </w:rPr>
        <w:t>FFO mener at</w:t>
      </w:r>
      <w:r w:rsidR="00D431FE" w:rsidRPr="00181807">
        <w:rPr>
          <w:i/>
          <w:sz w:val="22"/>
        </w:rPr>
        <w:t xml:space="preserve"> ordningen med tilskuddet til spesielle rettshjelptiltak må styrkes</w:t>
      </w:r>
      <w:r w:rsidRPr="00181807">
        <w:rPr>
          <w:i/>
          <w:sz w:val="22"/>
        </w:rPr>
        <w:t xml:space="preserve"> og at </w:t>
      </w:r>
      <w:proofErr w:type="spellStart"/>
      <w:r w:rsidRPr="00181807">
        <w:rPr>
          <w:i/>
          <w:sz w:val="22"/>
        </w:rPr>
        <w:t>FFOs</w:t>
      </w:r>
      <w:proofErr w:type="spellEnd"/>
      <w:r w:rsidRPr="00181807">
        <w:rPr>
          <w:i/>
          <w:sz w:val="22"/>
        </w:rPr>
        <w:t xml:space="preserve"> Rettighetssenter tas inn blant rettshjelptiltakene som får øremerkede tilskudd fra Justis- og beredskapsdepartementet.</w:t>
      </w:r>
    </w:p>
    <w:p w:rsidR="00AC09C1" w:rsidRPr="00181807" w:rsidRDefault="00AC09C1" w:rsidP="00AC09C1">
      <w:pPr>
        <w:rPr>
          <w:sz w:val="20"/>
          <w:szCs w:val="22"/>
        </w:rPr>
      </w:pPr>
    </w:p>
    <w:p w:rsidR="00AC09C1" w:rsidRPr="00181807" w:rsidRDefault="00AC09C1" w:rsidP="00AC09C1">
      <w:pPr>
        <w:rPr>
          <w:sz w:val="20"/>
          <w:szCs w:val="22"/>
        </w:rPr>
      </w:pPr>
    </w:p>
    <w:p w:rsidR="00AC09C1" w:rsidRPr="00181807" w:rsidRDefault="00AC09C1" w:rsidP="00AC09C1">
      <w:pPr>
        <w:rPr>
          <w:sz w:val="20"/>
          <w:szCs w:val="22"/>
        </w:rPr>
      </w:pPr>
      <w:r w:rsidRPr="00181807">
        <w:rPr>
          <w:sz w:val="20"/>
          <w:szCs w:val="22"/>
        </w:rPr>
        <w:t>Med vennlig hilsen</w:t>
      </w:r>
    </w:p>
    <w:p w:rsidR="00AC09C1" w:rsidRPr="00181807" w:rsidRDefault="00AC09C1" w:rsidP="00AC09C1">
      <w:pPr>
        <w:rPr>
          <w:b/>
          <w:sz w:val="20"/>
          <w:szCs w:val="22"/>
        </w:rPr>
      </w:pPr>
      <w:r w:rsidRPr="00181807">
        <w:rPr>
          <w:rFonts w:cs="Arial"/>
          <w:b/>
          <w:sz w:val="20"/>
          <w:szCs w:val="22"/>
        </w:rPr>
        <w:t>FUNKSJONSHEMMEDES FELLESORGANISASJON</w:t>
      </w:r>
    </w:p>
    <w:p w:rsidR="00AC09C1" w:rsidRPr="00181807" w:rsidRDefault="00AC09C1" w:rsidP="00AC09C1">
      <w:pPr>
        <w:rPr>
          <w:noProof/>
          <w:sz w:val="20"/>
        </w:rPr>
      </w:pPr>
    </w:p>
    <w:p w:rsidR="00EE0F09" w:rsidRPr="00181807" w:rsidRDefault="00C7573F" w:rsidP="00AC09C1">
      <w:pPr>
        <w:rPr>
          <w:noProof/>
          <w:sz w:val="20"/>
        </w:rPr>
      </w:pPr>
      <w:r>
        <w:rPr>
          <w:noProof/>
          <w:sz w:val="22"/>
        </w:rPr>
        <w:drawing>
          <wp:inline distT="0" distB="0" distL="0" distR="0" wp14:anchorId="2C7A13FC" wp14:editId="625D7A0B">
            <wp:extent cx="2009772" cy="428625"/>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5127" t="8113" r="59239" b="84561"/>
                    <a:stretch/>
                  </pic:blipFill>
                  <pic:spPr bwMode="auto">
                    <a:xfrm>
                      <a:off x="0" y="0"/>
                      <a:ext cx="2007474" cy="428135"/>
                    </a:xfrm>
                    <a:prstGeom prst="rect">
                      <a:avLst/>
                    </a:prstGeom>
                    <a:noFill/>
                    <a:ln>
                      <a:noFill/>
                    </a:ln>
                    <a:extLst>
                      <a:ext uri="{53640926-AAD7-44D8-BBD7-CCE9431645EC}">
                        <a14:shadowObscured xmlns:a14="http://schemas.microsoft.com/office/drawing/2010/main"/>
                      </a:ext>
                    </a:extLst>
                  </pic:spPr>
                </pic:pic>
              </a:graphicData>
            </a:graphic>
          </wp:inline>
        </w:drawing>
      </w:r>
      <w:bookmarkStart w:id="2" w:name="_GoBack"/>
      <w:bookmarkEnd w:id="2"/>
    </w:p>
    <w:p w:rsidR="00EE0F09" w:rsidRPr="00181807" w:rsidRDefault="00EE0F09" w:rsidP="00AC09C1">
      <w:pPr>
        <w:rPr>
          <w:sz w:val="20"/>
          <w:szCs w:val="22"/>
        </w:rPr>
      </w:pPr>
    </w:p>
    <w:p w:rsidR="00AC09C1" w:rsidRPr="00181807" w:rsidRDefault="008B0D38" w:rsidP="00AC09C1">
      <w:pPr>
        <w:rPr>
          <w:sz w:val="20"/>
          <w:szCs w:val="22"/>
        </w:rPr>
      </w:pPr>
      <w:r w:rsidRPr="00181807">
        <w:rPr>
          <w:sz w:val="20"/>
          <w:szCs w:val="22"/>
        </w:rPr>
        <w:t>Knut Magne Ellingsen</w:t>
      </w:r>
      <w:r w:rsidR="00AC09C1" w:rsidRPr="00181807">
        <w:rPr>
          <w:sz w:val="20"/>
          <w:szCs w:val="22"/>
        </w:rPr>
        <w:tab/>
      </w:r>
      <w:r w:rsidR="00AC09C1" w:rsidRPr="00181807">
        <w:rPr>
          <w:sz w:val="20"/>
          <w:szCs w:val="22"/>
        </w:rPr>
        <w:tab/>
      </w:r>
      <w:r w:rsidR="00AC09C1" w:rsidRPr="00181807">
        <w:rPr>
          <w:sz w:val="20"/>
          <w:szCs w:val="22"/>
        </w:rPr>
        <w:tab/>
      </w:r>
      <w:r w:rsidR="00AC09C1" w:rsidRPr="00181807">
        <w:rPr>
          <w:sz w:val="20"/>
          <w:szCs w:val="22"/>
        </w:rPr>
        <w:tab/>
      </w:r>
      <w:r w:rsidR="00AC09C1" w:rsidRPr="00181807">
        <w:rPr>
          <w:sz w:val="20"/>
          <w:szCs w:val="22"/>
        </w:rPr>
        <w:tab/>
      </w:r>
    </w:p>
    <w:p w:rsidR="00AC09C1" w:rsidRPr="00181807" w:rsidRDefault="00AC09C1" w:rsidP="00AC09C1">
      <w:pPr>
        <w:rPr>
          <w:sz w:val="20"/>
          <w:szCs w:val="22"/>
        </w:rPr>
      </w:pPr>
      <w:r w:rsidRPr="00181807">
        <w:rPr>
          <w:sz w:val="20"/>
          <w:szCs w:val="22"/>
        </w:rPr>
        <w:t>Styreleder</w:t>
      </w:r>
      <w:r w:rsidRPr="00181807">
        <w:rPr>
          <w:sz w:val="20"/>
          <w:szCs w:val="22"/>
        </w:rPr>
        <w:tab/>
      </w:r>
      <w:r w:rsidRPr="00181807">
        <w:rPr>
          <w:sz w:val="20"/>
          <w:szCs w:val="22"/>
        </w:rPr>
        <w:tab/>
      </w:r>
      <w:r w:rsidRPr="00181807">
        <w:rPr>
          <w:sz w:val="20"/>
          <w:szCs w:val="22"/>
        </w:rPr>
        <w:tab/>
      </w:r>
      <w:r w:rsidRPr="00181807">
        <w:rPr>
          <w:sz w:val="20"/>
          <w:szCs w:val="22"/>
        </w:rPr>
        <w:tab/>
      </w:r>
      <w:r w:rsidRPr="00181807">
        <w:rPr>
          <w:sz w:val="20"/>
          <w:szCs w:val="22"/>
        </w:rPr>
        <w:tab/>
      </w:r>
      <w:r w:rsidRPr="00181807">
        <w:rPr>
          <w:sz w:val="20"/>
          <w:szCs w:val="22"/>
        </w:rPr>
        <w:tab/>
      </w:r>
      <w:r w:rsidRPr="00181807">
        <w:rPr>
          <w:sz w:val="20"/>
          <w:szCs w:val="22"/>
        </w:rPr>
        <w:tab/>
      </w:r>
    </w:p>
    <w:p w:rsidR="0056171C" w:rsidRPr="00181807" w:rsidRDefault="0056171C" w:rsidP="00B72F35">
      <w:pPr>
        <w:rPr>
          <w:sz w:val="20"/>
          <w:szCs w:val="22"/>
        </w:rPr>
      </w:pPr>
    </w:p>
    <w:sectPr w:rsidR="0056171C" w:rsidRPr="00181807" w:rsidSect="000A6465">
      <w:footerReference w:type="default" r:id="rId9"/>
      <w:headerReference w:type="first" r:id="rId10"/>
      <w:footerReference w:type="first" r:id="rId11"/>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347" w:rsidRDefault="00285347" w:rsidP="00B4261E">
      <w:r>
        <w:separator/>
      </w:r>
    </w:p>
  </w:endnote>
  <w:endnote w:type="continuationSeparator" w:id="0">
    <w:p w:rsidR="00285347" w:rsidRDefault="00285347"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76160" behindDoc="0" locked="0" layoutInCell="1" allowOverlap="1" wp14:anchorId="2E087633" wp14:editId="15AB5746">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7573F">
                            <w:rPr>
                              <w:noProof/>
                              <w:sz w:val="20"/>
                            </w:rPr>
                            <w:t>4</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87633" id="_x0000_t202" coordsize="21600,21600" o:spt="202" path="m,l,21600r21600,l21600,xe">
              <v:stroke joinstyle="miter"/>
              <v:path gradientshapeok="t" o:connecttype="rect"/>
            </v:shapetype>
            <v:shape id="Tekstboks 4" o:spid="_x0000_s1027" type="#_x0000_t202" style="position:absolute;left:0;text-align:left;margin-left:-9.35pt;margin-top:-20.05pt;width:519pt;height:3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C7573F">
                      <w:rPr>
                        <w:noProof/>
                        <w:sz w:val="20"/>
                      </w:rPr>
                      <w:t>4</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 815 56 940</w:t>
    </w:r>
  </w:p>
  <w:p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proofErr w:type="gramStart"/>
    <w:r w:rsidR="00AC09C1">
      <w:rPr>
        <w:rFonts w:cs="Arial"/>
        <w:sz w:val="18"/>
        <w:szCs w:val="20"/>
        <w:u w:val="single"/>
      </w:rPr>
      <w:t>post</w:t>
    </w:r>
    <w:r w:rsidRPr="00DF10C1">
      <w:rPr>
        <w:rFonts w:cs="Arial"/>
        <w:sz w:val="18"/>
        <w:szCs w:val="20"/>
        <w:u w:val="single"/>
      </w:rPr>
      <w:t>@ffo.no</w:t>
    </w:r>
    <w:r w:rsidRPr="005D0149">
      <w:rPr>
        <w:rFonts w:cs="Arial"/>
        <w:sz w:val="18"/>
        <w:szCs w:val="20"/>
      </w:rPr>
      <w:t xml:space="preserve">  |</w:t>
    </w:r>
    <w:proofErr w:type="gramEnd"/>
    <w:r w:rsidRPr="005D0149">
      <w:rPr>
        <w:rFonts w:cs="Arial"/>
        <w:sz w:val="18"/>
        <w:szCs w:val="20"/>
      </w:rPr>
      <w:t xml:space="preserve"> Bankgiro: 8380 08 64219 | Organisasjonsnummer: 970 954 406</w:t>
    </w:r>
  </w:p>
  <w:p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81280" behindDoc="0" locked="0" layoutInCell="1" allowOverlap="1" wp14:anchorId="1A3C3D35" wp14:editId="1404DE5E">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7573F">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C3D35" id="_x0000_t202" coordsize="21600,21600" o:spt="202" path="m,l,21600r21600,l21600,xe">
              <v:stroke joinstyle="miter"/>
              <v:path gradientshapeok="t" o:connecttype="rect"/>
            </v:shapetype>
            <v:shape id="Tekstboks 7" o:spid="_x0000_s1033" type="#_x0000_t202" style="position:absolute;left:0;text-align:left;margin-left:-9.35pt;margin-top:-17.7pt;width:523.5pt;height:3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C7573F">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13, 0183 Oslo. Telefon 815 56 940</w:t>
    </w:r>
  </w:p>
  <w:p w:rsidR="00DF10C1" w:rsidRPr="002E2E8E" w:rsidRDefault="00DF10C1" w:rsidP="00DF10C1">
    <w:pPr>
      <w:pStyle w:val="Bunntekst"/>
      <w:tabs>
        <w:tab w:val="clear" w:pos="9072"/>
        <w:tab w:val="right" w:pos="9498"/>
      </w:tabs>
      <w:jc w:val="center"/>
      <w:rPr>
        <w:rFonts w:cs="Arial"/>
        <w:sz w:val="16"/>
        <w:szCs w:val="20"/>
      </w:rPr>
    </w:pPr>
    <w:r w:rsidRPr="00AC09C1">
      <w:rPr>
        <w:rFonts w:cs="Arial"/>
        <w:sz w:val="16"/>
        <w:szCs w:val="20"/>
      </w:rPr>
      <w:t xml:space="preserve">Web: </w:t>
    </w:r>
    <w:r w:rsidRPr="00AC09C1">
      <w:rPr>
        <w:rFonts w:cs="Arial"/>
        <w:sz w:val="16"/>
        <w:szCs w:val="20"/>
        <w:u w:val="single"/>
      </w:rPr>
      <w:t>www.ffo.no</w:t>
    </w:r>
    <w:r w:rsidRPr="00AC09C1">
      <w:rPr>
        <w:rFonts w:cs="Arial"/>
        <w:sz w:val="16"/>
        <w:szCs w:val="20"/>
      </w:rPr>
      <w:t xml:space="preserve"> | E-post: </w:t>
    </w:r>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rsidR="00DF10C1" w:rsidRDefault="00DF10C1" w:rsidP="00DF10C1">
    <w:pPr>
      <w:pStyle w:val="Bunntekst"/>
      <w:tabs>
        <w:tab w:val="clear" w:pos="4536"/>
        <w:tab w:val="clear" w:pos="9072"/>
        <w:tab w:val="right" w:pos="9639"/>
      </w:tabs>
      <w:rPr>
        <w:rFonts w:cs="Arial"/>
        <w:sz w:val="20"/>
        <w:szCs w:val="20"/>
      </w:rPr>
    </w:pPr>
    <w:r w:rsidRPr="005D0149">
      <w:rPr>
        <w:rFonts w:cs="Arial"/>
        <w:sz w:val="20"/>
        <w:szCs w:val="20"/>
      </w:rPr>
      <w:tab/>
    </w:r>
  </w:p>
  <w:p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347" w:rsidRDefault="00285347" w:rsidP="00B4261E">
      <w:r>
        <w:separator/>
      </w:r>
    </w:p>
  </w:footnote>
  <w:footnote w:type="continuationSeparator" w:id="0">
    <w:p w:rsidR="00285347" w:rsidRDefault="00285347" w:rsidP="00B4261E">
      <w:r>
        <w:continuationSeparator/>
      </w:r>
    </w:p>
  </w:footnote>
  <w:footnote w:id="1">
    <w:p w:rsidR="00391F18" w:rsidRPr="00BC3C81" w:rsidRDefault="00391F18" w:rsidP="00181807">
      <w:pPr>
        <w:pStyle w:val="Fotnotetekst"/>
        <w:rPr>
          <w:rFonts w:ascii="Arial" w:hAnsi="Arial" w:cs="Arial"/>
          <w:sz w:val="18"/>
        </w:rPr>
      </w:pPr>
      <w:r w:rsidRPr="00BC3C81">
        <w:rPr>
          <w:rStyle w:val="Fotnotereferanse"/>
          <w:rFonts w:ascii="Arial" w:hAnsi="Arial" w:cs="Arial"/>
          <w:sz w:val="18"/>
        </w:rPr>
        <w:footnoteRef/>
      </w:r>
      <w:r w:rsidRPr="00BC3C81">
        <w:rPr>
          <w:rFonts w:ascii="Arial" w:hAnsi="Arial" w:cs="Arial"/>
          <w:sz w:val="18"/>
        </w:rPr>
        <w:t xml:space="preserve"> Erklæring fra</w:t>
      </w:r>
      <w:r w:rsidR="00BC3C81" w:rsidRPr="00BC3C81">
        <w:rPr>
          <w:rFonts w:ascii="Arial" w:hAnsi="Arial" w:cs="Arial"/>
          <w:sz w:val="18"/>
        </w:rPr>
        <w:t xml:space="preserve"> 14 organisasjoner om at</w:t>
      </w:r>
      <w:r w:rsidRPr="00BC3C81">
        <w:rPr>
          <w:rFonts w:ascii="Arial" w:hAnsi="Arial" w:cs="Arial"/>
          <w:sz w:val="18"/>
        </w:rPr>
        <w:t xml:space="preserve"> </w:t>
      </w:r>
      <w:r w:rsidR="00181807" w:rsidRPr="00BC3C81">
        <w:rPr>
          <w:rFonts w:ascii="Arial" w:hAnsi="Arial" w:cs="Arial"/>
          <w:sz w:val="18"/>
        </w:rPr>
        <w:t>Rettshjelpsordningen</w:t>
      </w:r>
      <w:r w:rsidR="00BC3C81" w:rsidRPr="00BC3C81">
        <w:rPr>
          <w:rFonts w:ascii="Arial" w:hAnsi="Arial" w:cs="Arial"/>
          <w:sz w:val="18"/>
        </w:rPr>
        <w:t xml:space="preserve"> </w:t>
      </w:r>
      <w:r w:rsidR="00181807" w:rsidRPr="00BC3C81">
        <w:rPr>
          <w:rFonts w:ascii="Arial" w:hAnsi="Arial" w:cs="Arial"/>
          <w:sz w:val="18"/>
        </w:rPr>
        <w:t>må styrkes</w:t>
      </w:r>
    </w:p>
  </w:footnote>
  <w:footnote w:id="2">
    <w:p w:rsidR="00CA034C" w:rsidRPr="00BC3C81" w:rsidRDefault="00CA034C" w:rsidP="00CA034C">
      <w:pPr>
        <w:pStyle w:val="Fotnotetekst"/>
        <w:rPr>
          <w:rFonts w:ascii="Arial" w:hAnsi="Arial" w:cs="Arial"/>
          <w:sz w:val="18"/>
          <w:lang w:val="en-US"/>
        </w:rPr>
      </w:pPr>
      <w:r w:rsidRPr="00BC3C81">
        <w:rPr>
          <w:rStyle w:val="Fotnotereferanse"/>
          <w:rFonts w:ascii="Arial" w:hAnsi="Arial" w:cs="Arial"/>
          <w:sz w:val="18"/>
        </w:rPr>
        <w:footnoteRef/>
      </w:r>
      <w:r w:rsidRPr="00BC3C81">
        <w:rPr>
          <w:rFonts w:ascii="Arial" w:hAnsi="Arial" w:cs="Arial"/>
          <w:sz w:val="18"/>
          <w:lang w:val="en-US"/>
        </w:rPr>
        <w:t xml:space="preserve"> Concluding observations of the Human Rights Committee, CCPR/C/NOR/CO/6. </w:t>
      </w:r>
    </w:p>
  </w:footnote>
  <w:footnote w:id="3">
    <w:p w:rsidR="005D5894" w:rsidRPr="00BC3C81" w:rsidRDefault="005D5894" w:rsidP="005D5894">
      <w:pPr>
        <w:pStyle w:val="Fotnotetekst"/>
        <w:rPr>
          <w:rFonts w:ascii="Arial" w:hAnsi="Arial" w:cs="Arial"/>
          <w:sz w:val="18"/>
        </w:rPr>
      </w:pPr>
      <w:r w:rsidRPr="00BC3C81">
        <w:rPr>
          <w:rStyle w:val="Fotnotereferanse"/>
          <w:rFonts w:ascii="Arial" w:hAnsi="Arial" w:cs="Arial"/>
          <w:sz w:val="18"/>
        </w:rPr>
        <w:footnoteRef/>
      </w:r>
      <w:r w:rsidRPr="00BC3C81">
        <w:rPr>
          <w:rFonts w:ascii="Arial" w:hAnsi="Arial" w:cs="Arial"/>
          <w:sz w:val="18"/>
        </w:rPr>
        <w:t xml:space="preserve"> Olaf Halvorsen Rønning &amp; Heike Bentsen: Bruken av unntaksbestemmelsene i lov om fri rettshjelp (2008)</w:t>
      </w:r>
    </w:p>
  </w:footnote>
  <w:footnote w:id="4">
    <w:p w:rsidR="005D5894" w:rsidRPr="00BC3C81" w:rsidRDefault="005D5894" w:rsidP="005D5894">
      <w:pPr>
        <w:pStyle w:val="Fotnotetekst"/>
        <w:rPr>
          <w:rFonts w:ascii="Arial" w:hAnsi="Arial" w:cs="Arial"/>
          <w:sz w:val="18"/>
        </w:rPr>
      </w:pPr>
      <w:r w:rsidRPr="00BC3C81">
        <w:rPr>
          <w:rStyle w:val="Fotnotereferanse"/>
          <w:rFonts w:ascii="Arial" w:hAnsi="Arial" w:cs="Arial"/>
          <w:sz w:val="18"/>
        </w:rPr>
        <w:footnoteRef/>
      </w:r>
      <w:r w:rsidRPr="00BC3C81">
        <w:rPr>
          <w:rFonts w:ascii="Arial" w:hAnsi="Arial" w:cs="Arial"/>
          <w:sz w:val="18"/>
        </w:rPr>
        <w:t xml:space="preserve"> Rett til spesialundervisning i praksis? En rapport om spesialundervisning i grunnskolen og videregående opplæring, </w:t>
      </w:r>
      <w:proofErr w:type="spellStart"/>
      <w:r w:rsidRPr="00BC3C81">
        <w:rPr>
          <w:rFonts w:ascii="Arial" w:hAnsi="Arial" w:cs="Arial"/>
          <w:sz w:val="18"/>
        </w:rPr>
        <w:t>FFOs</w:t>
      </w:r>
      <w:proofErr w:type="spellEnd"/>
      <w:r w:rsidRPr="00BC3C81">
        <w:rPr>
          <w:rFonts w:ascii="Arial" w:hAnsi="Arial" w:cs="Arial"/>
          <w:sz w:val="18"/>
        </w:rPr>
        <w:t xml:space="preserve"> Rettighetssenter (2008)</w:t>
      </w:r>
    </w:p>
  </w:footnote>
  <w:footnote w:id="5">
    <w:p w:rsidR="005D5894" w:rsidRPr="00BC3C81" w:rsidRDefault="005D5894" w:rsidP="005D5894">
      <w:pPr>
        <w:pStyle w:val="Fotnotetekst"/>
        <w:rPr>
          <w:rFonts w:ascii="Arial" w:hAnsi="Arial" w:cs="Arial"/>
          <w:sz w:val="18"/>
        </w:rPr>
      </w:pPr>
      <w:r w:rsidRPr="00BC3C81">
        <w:rPr>
          <w:rStyle w:val="Fotnotereferanse"/>
          <w:rFonts w:ascii="Arial" w:hAnsi="Arial" w:cs="Arial"/>
          <w:sz w:val="18"/>
        </w:rPr>
        <w:footnoteRef/>
      </w:r>
      <w:r w:rsidRPr="00BC3C81">
        <w:rPr>
          <w:rFonts w:ascii="Arial" w:hAnsi="Arial" w:cs="Arial"/>
          <w:sz w:val="18"/>
        </w:rPr>
        <w:t xml:space="preserve"> Riksrevisjonens undersøkelse av spesialundervisning i grunnskolen, Dokument 3:7 (2010-2011)</w:t>
      </w:r>
    </w:p>
  </w:footnote>
  <w:footnote w:id="6">
    <w:p w:rsidR="005D5894" w:rsidRPr="00BC3C81" w:rsidRDefault="005D5894" w:rsidP="005D5894">
      <w:pPr>
        <w:pStyle w:val="Fotnotetekst"/>
        <w:rPr>
          <w:rFonts w:ascii="Arial" w:hAnsi="Arial" w:cs="Arial"/>
          <w:sz w:val="18"/>
        </w:rPr>
      </w:pPr>
      <w:r w:rsidRPr="00BC3C81">
        <w:rPr>
          <w:rStyle w:val="Fotnotereferanse"/>
          <w:rFonts w:ascii="Arial" w:hAnsi="Arial" w:cs="Arial"/>
          <w:sz w:val="18"/>
        </w:rPr>
        <w:footnoteRef/>
      </w:r>
      <w:r w:rsidRPr="00BC3C81">
        <w:rPr>
          <w:rFonts w:ascii="Arial" w:hAnsi="Arial" w:cs="Arial"/>
          <w:sz w:val="18"/>
        </w:rPr>
        <w:t xml:space="preserve"> Rapport fra felles nasjonalt tilsyn med opplæringsområdet 2007, Utdanningsdirektoratet</w:t>
      </w:r>
    </w:p>
  </w:footnote>
  <w:footnote w:id="7">
    <w:p w:rsidR="005D5894" w:rsidRPr="00BC3C81" w:rsidRDefault="005D5894" w:rsidP="005D5894">
      <w:pPr>
        <w:pStyle w:val="Fotnotetekst"/>
        <w:rPr>
          <w:rFonts w:ascii="Arial" w:hAnsi="Arial" w:cs="Arial"/>
          <w:sz w:val="18"/>
        </w:rPr>
      </w:pPr>
      <w:r w:rsidRPr="00BC3C81">
        <w:rPr>
          <w:rStyle w:val="Fotnotereferanse"/>
          <w:rFonts w:ascii="Arial" w:hAnsi="Arial" w:cs="Arial"/>
          <w:sz w:val="18"/>
        </w:rPr>
        <w:footnoteRef/>
      </w:r>
      <w:r w:rsidRPr="00BC3C81">
        <w:rPr>
          <w:rFonts w:ascii="Arial" w:hAnsi="Arial" w:cs="Arial"/>
          <w:sz w:val="18"/>
        </w:rPr>
        <w:t xml:space="preserve"> Dokument 3:16 (2011-2012) Riksrevisjonens undersøkelse av partnerskapet mellom staten og kommunen i NAV</w:t>
      </w:r>
    </w:p>
  </w:footnote>
  <w:footnote w:id="8">
    <w:p w:rsidR="005D5894" w:rsidRPr="00BC3C81" w:rsidRDefault="005D5894" w:rsidP="005D5894">
      <w:pPr>
        <w:pStyle w:val="Fotnotetekst"/>
        <w:rPr>
          <w:rFonts w:ascii="Arial" w:hAnsi="Arial" w:cs="Arial"/>
          <w:sz w:val="18"/>
        </w:rPr>
      </w:pPr>
      <w:r w:rsidRPr="00BC3C81">
        <w:rPr>
          <w:rStyle w:val="Fotnotereferanse"/>
          <w:rFonts w:ascii="Arial" w:hAnsi="Arial" w:cs="Arial"/>
          <w:sz w:val="18"/>
        </w:rPr>
        <w:footnoteRef/>
      </w:r>
      <w:r w:rsidRPr="00BC3C81">
        <w:rPr>
          <w:rFonts w:ascii="Arial" w:hAnsi="Arial" w:cs="Arial"/>
          <w:sz w:val="18"/>
        </w:rPr>
        <w:t xml:space="preserve"> Forskrift til lov om fri rettshjelp § 1-1</w:t>
      </w:r>
    </w:p>
  </w:footnote>
  <w:footnote w:id="9">
    <w:p w:rsidR="00D431FE" w:rsidRPr="00BC3C81" w:rsidRDefault="00D431FE" w:rsidP="00D431FE">
      <w:pPr>
        <w:pStyle w:val="Fotnotetekst"/>
        <w:rPr>
          <w:rFonts w:ascii="Arial" w:hAnsi="Arial" w:cs="Arial"/>
          <w:sz w:val="18"/>
        </w:rPr>
      </w:pPr>
      <w:r w:rsidRPr="00BC3C81">
        <w:rPr>
          <w:rStyle w:val="Fotnotereferanse"/>
          <w:rFonts w:ascii="Arial" w:hAnsi="Arial" w:cs="Arial"/>
          <w:sz w:val="18"/>
        </w:rPr>
        <w:footnoteRef/>
      </w:r>
      <w:r w:rsidRPr="00BC3C81">
        <w:rPr>
          <w:rFonts w:ascii="Arial" w:hAnsi="Arial" w:cs="Arial"/>
          <w:sz w:val="18"/>
        </w:rPr>
        <w:t xml:space="preserve"> </w:t>
      </w:r>
      <w:proofErr w:type="spellStart"/>
      <w:r w:rsidRPr="00BC3C81">
        <w:rPr>
          <w:rFonts w:ascii="Arial" w:hAnsi="Arial" w:cs="Arial"/>
          <w:sz w:val="18"/>
        </w:rPr>
        <w:t>FFOs</w:t>
      </w:r>
      <w:proofErr w:type="spellEnd"/>
      <w:r w:rsidRPr="00BC3C81">
        <w:rPr>
          <w:rFonts w:ascii="Arial" w:hAnsi="Arial" w:cs="Arial"/>
          <w:sz w:val="18"/>
        </w:rPr>
        <w:t xml:space="preserve"> Rettighetssenter er et rådgivnings- og kompetansesenter i rettighetsspørsmål som gjelder personer med funksjonshemning og kronisk sykdom. Senteret ble etablert i 2000. All hjelp er gratis.</w:t>
      </w:r>
    </w:p>
  </w:footnote>
  <w:footnote w:id="10">
    <w:p w:rsidR="005D5894" w:rsidRPr="00BC3C81" w:rsidRDefault="005D5894" w:rsidP="005D5894">
      <w:pPr>
        <w:pStyle w:val="Fotnotetekst"/>
        <w:rPr>
          <w:rFonts w:ascii="Arial" w:hAnsi="Arial" w:cs="Arial"/>
          <w:sz w:val="18"/>
        </w:rPr>
      </w:pPr>
      <w:r w:rsidRPr="00BC3C81">
        <w:rPr>
          <w:rStyle w:val="Fotnotereferanse"/>
          <w:rFonts w:ascii="Arial" w:hAnsi="Arial" w:cs="Arial"/>
          <w:sz w:val="18"/>
        </w:rPr>
        <w:footnoteRef/>
      </w:r>
      <w:r w:rsidRPr="00BC3C81">
        <w:rPr>
          <w:rFonts w:ascii="Arial" w:hAnsi="Arial" w:cs="Arial"/>
          <w:sz w:val="18"/>
        </w:rPr>
        <w:t xml:space="preserve"> </w:t>
      </w:r>
      <w:proofErr w:type="spellStart"/>
      <w:r w:rsidRPr="00BC3C81">
        <w:rPr>
          <w:rFonts w:ascii="Arial" w:hAnsi="Arial" w:cs="Arial"/>
          <w:sz w:val="18"/>
        </w:rPr>
        <w:t>McClimans</w:t>
      </w:r>
      <w:proofErr w:type="spellEnd"/>
      <w:r w:rsidRPr="00BC3C81">
        <w:rPr>
          <w:rFonts w:ascii="Arial" w:hAnsi="Arial" w:cs="Arial"/>
          <w:sz w:val="18"/>
        </w:rPr>
        <w:t>, Else, Utviklingen av funksjonshemmedes rettigheter siste ti år, 2013</w:t>
      </w:r>
    </w:p>
  </w:footnote>
  <w:footnote w:id="11">
    <w:p w:rsidR="00F54690" w:rsidRPr="005934F2" w:rsidRDefault="00F54690" w:rsidP="00F54690">
      <w:pPr>
        <w:pStyle w:val="Fotnotetekst"/>
        <w:rPr>
          <w:rFonts w:ascii="Arial" w:hAnsi="Arial" w:cs="Arial"/>
        </w:rPr>
      </w:pPr>
      <w:r w:rsidRPr="005934F2">
        <w:rPr>
          <w:rStyle w:val="Fotnotereferanse"/>
          <w:rFonts w:ascii="Arial" w:hAnsi="Arial" w:cs="Arial"/>
        </w:rPr>
        <w:footnoteRef/>
      </w:r>
      <w:r>
        <w:rPr>
          <w:rFonts w:ascii="Arial" w:hAnsi="Arial" w:cs="Arial"/>
        </w:rPr>
        <w:t xml:space="preserve"> </w:t>
      </w:r>
      <w:proofErr w:type="spellStart"/>
      <w:proofErr w:type="gramStart"/>
      <w:r>
        <w:rPr>
          <w:rFonts w:ascii="Arial" w:hAnsi="Arial" w:cs="Arial"/>
        </w:rPr>
        <w:t>Tøssbro</w:t>
      </w:r>
      <w:proofErr w:type="spellEnd"/>
      <w:r>
        <w:rPr>
          <w:rFonts w:ascii="Arial" w:hAnsi="Arial" w:cs="Arial"/>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Default="00DF10C1">
    <w:pPr>
      <w:pStyle w:val="Topptekst"/>
    </w:pPr>
    <w:r w:rsidRPr="00DF10C1">
      <w:rPr>
        <w:noProof/>
      </w:rPr>
      <mc:AlternateContent>
        <mc:Choice Requires="wpg">
          <w:drawing>
            <wp:anchor distT="0" distB="0" distL="114300" distR="114300" simplePos="0" relativeHeight="251679232" behindDoc="0" locked="0" layoutInCell="1" allowOverlap="1" wp14:anchorId="693FDC9D" wp14:editId="51FF581D">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93FDC9D" id="Gruppe 3" o:spid="_x0000_s1028" style="position:absolute;margin-left:-23.3pt;margin-top:-14.9pt;width:435.25pt;height:73.35pt;z-index:25167923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9" type="#_x0000_t202" style="position:absolute;width:45853;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30" style="position:absolute;left:762;top:4191;width:52412;height:36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kr8AA&#10;AADaAAAADwAAAGRycy9kb3ducmV2LnhtbERPTYvCMBC9C/6HMMJexKZ6kKWaigjCIh5W14PHsRnb&#10;YjKpTdbWf2+EhT0Nj/c5y1VvjXhQ62vHCqZJCoK4cLrmUsHpZzv5BOEDskbjmBQ8ycMqHw6WmGnX&#10;8YEex1CKGMI+QwVVCE0mpS8qsugT1xBH7upaiyHCtpS6xS6GWyNnaTqXFmuODRU2tKmouB1/rQJX&#10;mGc/HZvt/bI/z/361O1w963Ux6hfL0AE6sO/+M/9peN8eL/yvj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Vkr8AAAADaAAAADwAAAAAAAAAAAAAAAACYAgAAZHJzL2Rvd25y&#10;ZXYueG1sUEsFBgAAAAAEAAQA9QAAAIUDAAAAAA==&#10;" fillcolor="#1d0073" stroked="f"/>
              <v:shape id="Tekstboks 6" o:spid="_x0000_s1031" type="#_x0000_t202" style="position:absolute;left:914;top:5715;width:5436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6J8MA&#10;AADaAAAADwAAAGRycy9kb3ducmV2LnhtbESPQWvCQBSE74X+h+UVvJmNBUVSVxFB2otI1ZYeH9ln&#10;Es2+jdnXJP77bqHQ4zAz3zCL1eBq1VEbKs8GJkkKijj3tuLCwOm4Hc9BBUG2WHsmA3cKsFo+Piww&#10;s77nd+oOUqgI4ZChgVKkybQOeUkOQ+Ib4uidfetQomwLbVvsI9zV+jlNZ9phxXGhxIY2JeXXw7cz&#10;cPSvl0v/mXa3/ZQ/vmi6uxYixoyehvULKKFB/sN/7TdrYAa/V+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6J8MAAADaAAAADwAAAAAAAAAAAAAAAACYAgAAZHJzL2Rv&#10;d25yZXYueG1sUEsFBgAAAAAEAAQA9QAAAIgDAAAAAA==&#10;" filled="f" stroked="f" strokeweight=".5pt">
                <v:path arrowok="t"/>
                <v:textbox inset="0,0,0,0">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2" style="position:absolute;left:762;top:4800;width:52412;height:3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m8IA&#10;AADaAAAADwAAAGRycy9kb3ducmV2LnhtbESPT4vCMBTE78J+h/CEvYim/qGU2lQWQXbBk7qLeHs0&#10;z7bYvJQmq/XbG0HwOMzMb5hs1ZtGXKlztWUF00kEgriwuuZSwe9hM05AOI+ssbFMCu7kYJV/DDJM&#10;tb3xjq57X4oAYZeigsr7NpXSFRUZdBPbEgfvbDuDPsiulLrDW4CbRs6iKJYGaw4LFba0rqi47P+N&#10;Arpvi2NjZbzhEy3+ktG8PcffSn0O+68lCE+9f4df7R+tYAbPK+EG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D6bwgAAANoAAAAPAAAAAAAAAAAAAAAAAJgCAABkcnMvZG93&#10;bnJldi54bWxQSwUGAAAAAAQABAD1AAAAhwMAAAAA&#10;" fillcolor="#00b050" stroked="f" strokeweight=".25pt"/>
            </v:group>
          </w:pict>
        </mc:Fallback>
      </mc:AlternateContent>
    </w:r>
    <w:r w:rsidRPr="00DF10C1">
      <w:rPr>
        <w:noProof/>
      </w:rPr>
      <w:drawing>
        <wp:anchor distT="0" distB="0" distL="114300" distR="114300" simplePos="0" relativeHeight="251678208" behindDoc="0" locked="0" layoutInCell="1" allowOverlap="1" wp14:anchorId="4BE42BA6" wp14:editId="0B6B545A">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D7CC9"/>
    <w:multiLevelType w:val="hybridMultilevel"/>
    <w:tmpl w:val="701691E6"/>
    <w:lvl w:ilvl="0" w:tplc="CC34775C">
      <w:start w:val="1"/>
      <w:numFmt w:val="bullet"/>
      <w:lvlText w:val=""/>
      <w:lvlJc w:val="left"/>
      <w:pPr>
        <w:tabs>
          <w:tab w:val="num" w:pos="76"/>
        </w:tabs>
        <w:ind w:left="76" w:hanging="360"/>
      </w:pPr>
      <w:rPr>
        <w:rFonts w:ascii="Symbol" w:hAnsi="Symbol" w:hint="default"/>
        <w:color w:val="auto"/>
        <w:sz w:val="26"/>
        <w:szCs w:val="26"/>
      </w:rPr>
    </w:lvl>
    <w:lvl w:ilvl="1" w:tplc="04140003">
      <w:start w:val="1"/>
      <w:numFmt w:val="bullet"/>
      <w:lvlText w:val="o"/>
      <w:lvlJc w:val="left"/>
      <w:pPr>
        <w:tabs>
          <w:tab w:val="num" w:pos="796"/>
        </w:tabs>
        <w:ind w:left="796" w:hanging="360"/>
      </w:pPr>
      <w:rPr>
        <w:rFonts w:ascii="Courier New" w:hAnsi="Courier New" w:cs="Courier New" w:hint="default"/>
      </w:rPr>
    </w:lvl>
    <w:lvl w:ilvl="2" w:tplc="04140005">
      <w:start w:val="1"/>
      <w:numFmt w:val="bullet"/>
      <w:lvlText w:val=""/>
      <w:lvlJc w:val="left"/>
      <w:pPr>
        <w:tabs>
          <w:tab w:val="num" w:pos="1516"/>
        </w:tabs>
        <w:ind w:left="1516" w:hanging="360"/>
      </w:pPr>
      <w:rPr>
        <w:rFonts w:ascii="Wingdings" w:hAnsi="Wingdings" w:hint="default"/>
      </w:rPr>
    </w:lvl>
    <w:lvl w:ilvl="3" w:tplc="04140001">
      <w:start w:val="1"/>
      <w:numFmt w:val="bullet"/>
      <w:lvlText w:val=""/>
      <w:lvlJc w:val="left"/>
      <w:pPr>
        <w:tabs>
          <w:tab w:val="num" w:pos="2236"/>
        </w:tabs>
        <w:ind w:left="2236" w:hanging="360"/>
      </w:pPr>
      <w:rPr>
        <w:rFonts w:ascii="Symbol" w:hAnsi="Symbol" w:hint="default"/>
      </w:rPr>
    </w:lvl>
    <w:lvl w:ilvl="4" w:tplc="04140003">
      <w:start w:val="1"/>
      <w:numFmt w:val="bullet"/>
      <w:lvlText w:val="o"/>
      <w:lvlJc w:val="left"/>
      <w:pPr>
        <w:tabs>
          <w:tab w:val="num" w:pos="2956"/>
        </w:tabs>
        <w:ind w:left="2956" w:hanging="360"/>
      </w:pPr>
      <w:rPr>
        <w:rFonts w:ascii="Courier New" w:hAnsi="Courier New" w:cs="Courier New" w:hint="default"/>
      </w:rPr>
    </w:lvl>
    <w:lvl w:ilvl="5" w:tplc="04140005">
      <w:start w:val="1"/>
      <w:numFmt w:val="bullet"/>
      <w:lvlText w:val=""/>
      <w:lvlJc w:val="left"/>
      <w:pPr>
        <w:tabs>
          <w:tab w:val="num" w:pos="3676"/>
        </w:tabs>
        <w:ind w:left="3676" w:hanging="360"/>
      </w:pPr>
      <w:rPr>
        <w:rFonts w:ascii="Wingdings" w:hAnsi="Wingdings" w:hint="default"/>
      </w:rPr>
    </w:lvl>
    <w:lvl w:ilvl="6" w:tplc="04140001">
      <w:start w:val="1"/>
      <w:numFmt w:val="bullet"/>
      <w:lvlText w:val=""/>
      <w:lvlJc w:val="left"/>
      <w:pPr>
        <w:tabs>
          <w:tab w:val="num" w:pos="4396"/>
        </w:tabs>
        <w:ind w:left="4396" w:hanging="360"/>
      </w:pPr>
      <w:rPr>
        <w:rFonts w:ascii="Symbol" w:hAnsi="Symbol" w:hint="default"/>
      </w:rPr>
    </w:lvl>
    <w:lvl w:ilvl="7" w:tplc="04140003">
      <w:start w:val="1"/>
      <w:numFmt w:val="bullet"/>
      <w:lvlText w:val="o"/>
      <w:lvlJc w:val="left"/>
      <w:pPr>
        <w:tabs>
          <w:tab w:val="num" w:pos="5116"/>
        </w:tabs>
        <w:ind w:left="5116" w:hanging="360"/>
      </w:pPr>
      <w:rPr>
        <w:rFonts w:ascii="Courier New" w:hAnsi="Courier New" w:cs="Courier New" w:hint="default"/>
      </w:rPr>
    </w:lvl>
    <w:lvl w:ilvl="8" w:tplc="04140005">
      <w:start w:val="1"/>
      <w:numFmt w:val="bullet"/>
      <w:lvlText w:val=""/>
      <w:lvlJc w:val="left"/>
      <w:pPr>
        <w:tabs>
          <w:tab w:val="num" w:pos="5836"/>
        </w:tabs>
        <w:ind w:left="5836" w:hanging="360"/>
      </w:pPr>
      <w:rPr>
        <w:rFonts w:ascii="Wingdings" w:hAnsi="Wingdings" w:hint="default"/>
      </w:rPr>
    </w:lvl>
  </w:abstractNum>
  <w:abstractNum w:abstractNumId="1" w15:restartNumberingAfterBreak="0">
    <w:nsid w:val="63DE0FFF"/>
    <w:multiLevelType w:val="hybridMultilevel"/>
    <w:tmpl w:val="E500E4D2"/>
    <w:lvl w:ilvl="0" w:tplc="D4BA8686">
      <w:start w:val="1"/>
      <w:numFmt w:val="bullet"/>
      <w:pStyle w:val="PunktlisteFFO"/>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B4C5E7A"/>
    <w:multiLevelType w:val="hybridMultilevel"/>
    <w:tmpl w:val="1AB01822"/>
    <w:lvl w:ilvl="0" w:tplc="208010EA">
      <w:start w:val="1"/>
      <w:numFmt w:val="bullet"/>
      <w:lvlText w:val=""/>
      <w:lvlJc w:val="left"/>
      <w:pPr>
        <w:tabs>
          <w:tab w:val="num" w:pos="720"/>
        </w:tabs>
        <w:ind w:left="720" w:hanging="360"/>
      </w:pPr>
      <w:rPr>
        <w:rFonts w:ascii="Symbol" w:hAnsi="Symbol" w:hint="default"/>
        <w:sz w:val="26"/>
        <w:szCs w:val="26"/>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C1"/>
    <w:rsid w:val="0004772D"/>
    <w:rsid w:val="00054E05"/>
    <w:rsid w:val="000573BC"/>
    <w:rsid w:val="000603A7"/>
    <w:rsid w:val="000A57C5"/>
    <w:rsid w:val="000A6465"/>
    <w:rsid w:val="000B01F4"/>
    <w:rsid w:val="000F6E0F"/>
    <w:rsid w:val="00100EAB"/>
    <w:rsid w:val="00105703"/>
    <w:rsid w:val="00127A87"/>
    <w:rsid w:val="001704E7"/>
    <w:rsid w:val="00181807"/>
    <w:rsid w:val="001A1E02"/>
    <w:rsid w:val="001B13BD"/>
    <w:rsid w:val="001F5AD2"/>
    <w:rsid w:val="00225952"/>
    <w:rsid w:val="00235176"/>
    <w:rsid w:val="00236052"/>
    <w:rsid w:val="0025376E"/>
    <w:rsid w:val="00261C69"/>
    <w:rsid w:val="00285347"/>
    <w:rsid w:val="00285D6A"/>
    <w:rsid w:val="002A4F92"/>
    <w:rsid w:val="002C23B5"/>
    <w:rsid w:val="002E2E8E"/>
    <w:rsid w:val="002F3A57"/>
    <w:rsid w:val="003076F2"/>
    <w:rsid w:val="00317773"/>
    <w:rsid w:val="00325A16"/>
    <w:rsid w:val="00341FE0"/>
    <w:rsid w:val="00391F18"/>
    <w:rsid w:val="003B16A3"/>
    <w:rsid w:val="003B19B9"/>
    <w:rsid w:val="003C0E1F"/>
    <w:rsid w:val="00432C40"/>
    <w:rsid w:val="00445CB1"/>
    <w:rsid w:val="00456D06"/>
    <w:rsid w:val="004710B5"/>
    <w:rsid w:val="004734AF"/>
    <w:rsid w:val="00477E1C"/>
    <w:rsid w:val="00485417"/>
    <w:rsid w:val="004C4DEF"/>
    <w:rsid w:val="004F770F"/>
    <w:rsid w:val="005214F9"/>
    <w:rsid w:val="00525C5E"/>
    <w:rsid w:val="00525E24"/>
    <w:rsid w:val="0052795C"/>
    <w:rsid w:val="00531932"/>
    <w:rsid w:val="0054065D"/>
    <w:rsid w:val="005410FF"/>
    <w:rsid w:val="0056171C"/>
    <w:rsid w:val="00563F4D"/>
    <w:rsid w:val="005D2E73"/>
    <w:rsid w:val="005D509A"/>
    <w:rsid w:val="005D5894"/>
    <w:rsid w:val="005D7695"/>
    <w:rsid w:val="005E78CC"/>
    <w:rsid w:val="005F0911"/>
    <w:rsid w:val="005F5A2D"/>
    <w:rsid w:val="00603CF3"/>
    <w:rsid w:val="006042AE"/>
    <w:rsid w:val="0062604A"/>
    <w:rsid w:val="00676B9F"/>
    <w:rsid w:val="00690279"/>
    <w:rsid w:val="006A0CA1"/>
    <w:rsid w:val="006A6062"/>
    <w:rsid w:val="006D020C"/>
    <w:rsid w:val="006E31CF"/>
    <w:rsid w:val="006F3C67"/>
    <w:rsid w:val="00705766"/>
    <w:rsid w:val="00797BC5"/>
    <w:rsid w:val="007B095A"/>
    <w:rsid w:val="007D0252"/>
    <w:rsid w:val="007F0B50"/>
    <w:rsid w:val="007F52ED"/>
    <w:rsid w:val="007F5D97"/>
    <w:rsid w:val="00800E77"/>
    <w:rsid w:val="008324C0"/>
    <w:rsid w:val="00842123"/>
    <w:rsid w:val="008538D7"/>
    <w:rsid w:val="00856AE3"/>
    <w:rsid w:val="008A2EF3"/>
    <w:rsid w:val="008B0D38"/>
    <w:rsid w:val="008C48E1"/>
    <w:rsid w:val="008E2209"/>
    <w:rsid w:val="008E24EC"/>
    <w:rsid w:val="008F4D74"/>
    <w:rsid w:val="009068AB"/>
    <w:rsid w:val="0095389C"/>
    <w:rsid w:val="009573B0"/>
    <w:rsid w:val="009603CD"/>
    <w:rsid w:val="009B26C0"/>
    <w:rsid w:val="009E4120"/>
    <w:rsid w:val="00A03E31"/>
    <w:rsid w:val="00A03FFF"/>
    <w:rsid w:val="00A128F3"/>
    <w:rsid w:val="00A1365B"/>
    <w:rsid w:val="00A539BB"/>
    <w:rsid w:val="00A77143"/>
    <w:rsid w:val="00A94DBE"/>
    <w:rsid w:val="00A97876"/>
    <w:rsid w:val="00AA34A9"/>
    <w:rsid w:val="00AC09C1"/>
    <w:rsid w:val="00AE6FB4"/>
    <w:rsid w:val="00AF18BD"/>
    <w:rsid w:val="00B009E5"/>
    <w:rsid w:val="00B2628C"/>
    <w:rsid w:val="00B4261E"/>
    <w:rsid w:val="00B42B7E"/>
    <w:rsid w:val="00B63D6E"/>
    <w:rsid w:val="00B72F35"/>
    <w:rsid w:val="00B91646"/>
    <w:rsid w:val="00B940F8"/>
    <w:rsid w:val="00B94873"/>
    <w:rsid w:val="00BB336D"/>
    <w:rsid w:val="00BC3C81"/>
    <w:rsid w:val="00BE7690"/>
    <w:rsid w:val="00BE7F17"/>
    <w:rsid w:val="00C07904"/>
    <w:rsid w:val="00C16261"/>
    <w:rsid w:val="00C279F7"/>
    <w:rsid w:val="00C46F8E"/>
    <w:rsid w:val="00C47D49"/>
    <w:rsid w:val="00C519DC"/>
    <w:rsid w:val="00C520CF"/>
    <w:rsid w:val="00C5288C"/>
    <w:rsid w:val="00C579BF"/>
    <w:rsid w:val="00C64EBE"/>
    <w:rsid w:val="00C7573F"/>
    <w:rsid w:val="00C77987"/>
    <w:rsid w:val="00C83CE3"/>
    <w:rsid w:val="00CA00E2"/>
    <w:rsid w:val="00CA034C"/>
    <w:rsid w:val="00CA45D3"/>
    <w:rsid w:val="00CF3993"/>
    <w:rsid w:val="00D1000A"/>
    <w:rsid w:val="00D231EA"/>
    <w:rsid w:val="00D431FE"/>
    <w:rsid w:val="00D5208E"/>
    <w:rsid w:val="00D56601"/>
    <w:rsid w:val="00D64B96"/>
    <w:rsid w:val="00D66C61"/>
    <w:rsid w:val="00D75A17"/>
    <w:rsid w:val="00D924FA"/>
    <w:rsid w:val="00D934E9"/>
    <w:rsid w:val="00DA3B9C"/>
    <w:rsid w:val="00DF10C1"/>
    <w:rsid w:val="00E37D24"/>
    <w:rsid w:val="00E405B7"/>
    <w:rsid w:val="00EB6F39"/>
    <w:rsid w:val="00EC373E"/>
    <w:rsid w:val="00EE0F09"/>
    <w:rsid w:val="00F407DE"/>
    <w:rsid w:val="00F44FC2"/>
    <w:rsid w:val="00F532C0"/>
    <w:rsid w:val="00F54690"/>
    <w:rsid w:val="00F5658A"/>
    <w:rsid w:val="00F637FD"/>
    <w:rsid w:val="00F83145"/>
    <w:rsid w:val="00F95ABB"/>
    <w:rsid w:val="00F97832"/>
    <w:rsid w:val="00FA46B2"/>
    <w:rsid w:val="00FC50D2"/>
    <w:rsid w:val="00FE5214"/>
    <w:rsid w:val="00FF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3369EE8-6C5F-4CA5-8E77-CF816DCE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paragraph" w:styleId="Overskrift2">
    <w:name w:val="heading 2"/>
    <w:basedOn w:val="Overskrift1"/>
    <w:next w:val="Normal"/>
    <w:link w:val="Overskrift2Tegn"/>
    <w:qFormat/>
    <w:rsid w:val="00D431FE"/>
    <w:pPr>
      <w:outlineLvl w:val="1"/>
    </w:pPr>
    <w:rPr>
      <w:b w:val="0"/>
      <w:bCs w:val="0"/>
      <w:kern w:val="28"/>
      <w:sz w:val="40"/>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rsid w:val="00AC09C1"/>
    <w:rPr>
      <w:rFonts w:ascii="Times New Roman" w:hAnsi="Times New Roman"/>
      <w:sz w:val="20"/>
      <w:szCs w:val="20"/>
    </w:rPr>
  </w:style>
  <w:style w:type="character" w:customStyle="1" w:styleId="FotnotetekstTegn">
    <w:name w:val="Fotnotetekst Tegn"/>
    <w:basedOn w:val="Standardskriftforavsnitt"/>
    <w:link w:val="Fotnotetekst"/>
    <w:uiPriority w:val="99"/>
    <w:rsid w:val="00AC09C1"/>
    <w:rPr>
      <w:lang w:val="nb-NO" w:eastAsia="nb-NO"/>
    </w:rPr>
  </w:style>
  <w:style w:type="character" w:styleId="Fotnotereferanse">
    <w:name w:val="footnote reference"/>
    <w:basedOn w:val="Standardskriftforavsnitt"/>
    <w:uiPriority w:val="99"/>
    <w:unhideWhenUsed/>
    <w:rsid w:val="00AC09C1"/>
    <w:rPr>
      <w:vertAlign w:val="superscript"/>
    </w:rPr>
  </w:style>
  <w:style w:type="paragraph" w:customStyle="1" w:styleId="PunktlisteFFO">
    <w:name w:val="Punktliste FFO"/>
    <w:basedOn w:val="Listeavsnitt"/>
    <w:link w:val="PunktlisteFFOTegn"/>
    <w:qFormat/>
    <w:rsid w:val="00AC09C1"/>
    <w:pPr>
      <w:numPr>
        <w:numId w:val="1"/>
      </w:numPr>
      <w:spacing w:after="200" w:line="276" w:lineRule="auto"/>
    </w:pPr>
    <w:rPr>
      <w:rFonts w:eastAsia="Calibri"/>
      <w:i/>
      <w:sz w:val="22"/>
      <w:szCs w:val="22"/>
      <w:lang w:eastAsia="en-US"/>
    </w:rPr>
  </w:style>
  <w:style w:type="character" w:customStyle="1" w:styleId="PunktlisteFFOTegn">
    <w:name w:val="Punktliste FFO Tegn"/>
    <w:basedOn w:val="Standardskriftforavsnitt"/>
    <w:link w:val="PunktlisteFFO"/>
    <w:rsid w:val="00AC09C1"/>
    <w:rPr>
      <w:rFonts w:ascii="Arial" w:eastAsia="Calibri" w:hAnsi="Arial"/>
      <w:i/>
      <w:sz w:val="22"/>
      <w:szCs w:val="22"/>
      <w:lang w:val="nb-NO" w:eastAsia="en-US"/>
    </w:rPr>
  </w:style>
  <w:style w:type="paragraph" w:styleId="Listeavsnitt">
    <w:name w:val="List Paragraph"/>
    <w:basedOn w:val="Normal"/>
    <w:uiPriority w:val="34"/>
    <w:qFormat/>
    <w:rsid w:val="00AC09C1"/>
    <w:pPr>
      <w:ind w:left="720"/>
      <w:contextualSpacing/>
    </w:pPr>
  </w:style>
  <w:style w:type="character" w:customStyle="1" w:styleId="apple-converted-space">
    <w:name w:val="apple-converted-space"/>
    <w:basedOn w:val="Standardskriftforavsnitt"/>
    <w:rsid w:val="00477E1C"/>
  </w:style>
  <w:style w:type="character" w:customStyle="1" w:styleId="Overskrift2Tegn">
    <w:name w:val="Overskrift 2 Tegn"/>
    <w:basedOn w:val="Standardskriftforavsnitt"/>
    <w:link w:val="Overskrift2"/>
    <w:rsid w:val="00D431FE"/>
    <w:rPr>
      <w:rFonts w:ascii="Arial" w:hAnsi="Arial" w:cs="Arial"/>
      <w:kern w:val="28"/>
      <w:sz w:val="40"/>
      <w:szCs w:val="22"/>
      <w:lang w:val="nb-NO" w:eastAsia="nb-NO"/>
    </w:rPr>
  </w:style>
  <w:style w:type="paragraph" w:customStyle="1" w:styleId="Fet">
    <w:name w:val="Fet"/>
    <w:aliases w:val="Bold"/>
    <w:basedOn w:val="Normal"/>
    <w:link w:val="FetTegn"/>
    <w:qFormat/>
    <w:rsid w:val="00D431FE"/>
    <w:rPr>
      <w:rFonts w:cs="Arial"/>
      <w:b/>
      <w:sz w:val="22"/>
      <w:szCs w:val="22"/>
    </w:rPr>
  </w:style>
  <w:style w:type="character" w:customStyle="1" w:styleId="FetTegn">
    <w:name w:val="Fet Tegn"/>
    <w:aliases w:val="Bold Tegn"/>
    <w:basedOn w:val="Standardskriftforavsnitt"/>
    <w:link w:val="Fet"/>
    <w:rsid w:val="00D431FE"/>
    <w:rPr>
      <w:rFonts w:ascii="Arial" w:hAnsi="Arial" w:cs="Arial"/>
      <w:b/>
      <w:sz w:val="22"/>
      <w:szCs w:val="22"/>
      <w:lang w:val="nb-NO" w:eastAsia="nb-NO"/>
    </w:rPr>
  </w:style>
  <w:style w:type="paragraph" w:styleId="Bobletekst">
    <w:name w:val="Balloon Text"/>
    <w:basedOn w:val="Normal"/>
    <w:link w:val="BobletekstTegn"/>
    <w:semiHidden/>
    <w:unhideWhenUsed/>
    <w:rsid w:val="002C23B5"/>
    <w:rPr>
      <w:rFonts w:ascii="Segoe UI" w:hAnsi="Segoe UI" w:cs="Segoe UI"/>
      <w:sz w:val="18"/>
      <w:szCs w:val="18"/>
    </w:rPr>
  </w:style>
  <w:style w:type="character" w:customStyle="1" w:styleId="BobletekstTegn">
    <w:name w:val="Bobletekst Tegn"/>
    <w:basedOn w:val="Standardskriftforavsnitt"/>
    <w:link w:val="Bobletekst"/>
    <w:semiHidden/>
    <w:rsid w:val="002C23B5"/>
    <w:rPr>
      <w:rFonts w:ascii="Segoe UI" w:hAnsi="Segoe UI" w:cs="Segoe UI"/>
      <w:sz w:val="18"/>
      <w:szCs w:val="18"/>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8.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DF7998-6E58-41FC-8445-6AB6166E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Brevmal.FFO8</Template>
  <TotalTime>5</TotalTime>
  <Pages>4</Pages>
  <Words>1626</Words>
  <Characters>9533</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Malspesialisten AS</vt:lpstr>
    </vt:vector>
  </TitlesOfParts>
  <Company>PC-HELP</Company>
  <LinksUpToDate>false</LinksUpToDate>
  <CharactersWithSpaces>11137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Malspesialisten AS</dc:title>
  <dc:creator>Åsta Tale Strand</dc:creator>
  <cp:lastModifiedBy>Heidi Sørlie-Rogne</cp:lastModifiedBy>
  <cp:revision>4</cp:revision>
  <cp:lastPrinted>2015-10-28T07:59:00Z</cp:lastPrinted>
  <dcterms:created xsi:type="dcterms:W3CDTF">2015-10-28T11:41:00Z</dcterms:created>
  <dcterms:modified xsi:type="dcterms:W3CDTF">2015-10-28T12:37:00Z</dcterms:modified>
</cp:coreProperties>
</file>